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6328" w14:textId="77777777" w:rsidR="001A305A" w:rsidRDefault="001A305A" w:rsidP="001A305A">
      <w:pPr>
        <w:pStyle w:val="2-ortabaslk"/>
        <w:spacing w:line="240" w:lineRule="atLeast"/>
        <w:ind w:firstLine="709"/>
      </w:pPr>
      <w:r>
        <w:rPr>
          <w:sz w:val="20"/>
          <w:szCs w:val="20"/>
        </w:rPr>
        <w:t>TÜRK GIDA KODEKSİ MİKROBİYOLOJİK KRİTERLER YÖNETMELİĞİ</w:t>
      </w:r>
    </w:p>
    <w:p w14:paraId="0CACC9C1" w14:textId="77777777" w:rsidR="001A305A" w:rsidRDefault="001A305A" w:rsidP="001A305A">
      <w:pPr>
        <w:pStyle w:val="2-ortabaslk"/>
        <w:spacing w:line="240" w:lineRule="atLeast"/>
        <w:ind w:firstLine="709"/>
      </w:pPr>
      <w:r>
        <w:rPr>
          <w:sz w:val="20"/>
          <w:szCs w:val="20"/>
        </w:rPr>
        <w:t> </w:t>
      </w:r>
    </w:p>
    <w:p w14:paraId="5BC4AAE2" w14:textId="77777777" w:rsidR="001A305A" w:rsidRDefault="001A305A" w:rsidP="001A305A">
      <w:pPr>
        <w:pStyle w:val="2-ortabaslk"/>
        <w:spacing w:line="240" w:lineRule="atLeast"/>
        <w:ind w:firstLine="709"/>
      </w:pPr>
      <w:r>
        <w:rPr>
          <w:sz w:val="20"/>
          <w:szCs w:val="20"/>
        </w:rPr>
        <w:t>BİRİNCİ BÖLÜM</w:t>
      </w:r>
    </w:p>
    <w:p w14:paraId="22DC7BAB" w14:textId="77777777" w:rsidR="001A305A" w:rsidRDefault="001A305A" w:rsidP="001A305A">
      <w:pPr>
        <w:pStyle w:val="2-ortabaslk"/>
        <w:spacing w:line="240" w:lineRule="atLeast"/>
        <w:ind w:firstLine="709"/>
      </w:pPr>
      <w:r>
        <w:rPr>
          <w:sz w:val="20"/>
          <w:szCs w:val="20"/>
        </w:rPr>
        <w:t>Amaç, Kapsam, Dayanak ve Tanımlar</w:t>
      </w:r>
    </w:p>
    <w:p w14:paraId="7F81013F" w14:textId="77777777" w:rsidR="001A305A" w:rsidRDefault="001A305A" w:rsidP="001A305A">
      <w:pPr>
        <w:pStyle w:val="3-normalyaz"/>
        <w:spacing w:line="240" w:lineRule="atLeast"/>
        <w:ind w:firstLine="709"/>
      </w:pPr>
      <w:r>
        <w:rPr>
          <w:b/>
          <w:bCs/>
          <w:sz w:val="20"/>
          <w:szCs w:val="20"/>
        </w:rPr>
        <w:t>Amaç</w:t>
      </w:r>
    </w:p>
    <w:p w14:paraId="1319BB96" w14:textId="77777777" w:rsidR="001A305A" w:rsidRDefault="001A305A" w:rsidP="001A305A">
      <w:pPr>
        <w:pStyle w:val="3-normalyaz"/>
        <w:spacing w:line="240" w:lineRule="atLeast"/>
        <w:ind w:firstLine="709"/>
      </w:pPr>
      <w:r>
        <w:rPr>
          <w:b/>
          <w:bCs/>
          <w:sz w:val="20"/>
          <w:szCs w:val="20"/>
        </w:rPr>
        <w:t xml:space="preserve">MADDE 1 – </w:t>
      </w:r>
      <w:r>
        <w:rPr>
          <w:sz w:val="20"/>
          <w:szCs w:val="20"/>
        </w:rPr>
        <w:t>(1) Bu Yönetmeliğin amacı; gıdaların mikrobiyolojik kriterleri ile gıda işletmecilerinin uyması ve uygulaması gereken kuralları belirlemektir.</w:t>
      </w:r>
    </w:p>
    <w:p w14:paraId="5D3E19F8" w14:textId="77777777" w:rsidR="001A305A" w:rsidRDefault="001A305A" w:rsidP="001A305A">
      <w:pPr>
        <w:pStyle w:val="3-normalyaz"/>
        <w:spacing w:line="240" w:lineRule="atLeast"/>
        <w:ind w:firstLine="709"/>
      </w:pPr>
      <w:r>
        <w:rPr>
          <w:b/>
          <w:bCs/>
          <w:sz w:val="20"/>
          <w:szCs w:val="20"/>
        </w:rPr>
        <w:t>Kapsam</w:t>
      </w:r>
    </w:p>
    <w:p w14:paraId="32772CF1" w14:textId="77777777" w:rsidR="001A305A" w:rsidRDefault="001A305A" w:rsidP="001A305A">
      <w:pPr>
        <w:pStyle w:val="3-normalyaz"/>
        <w:spacing w:line="240" w:lineRule="atLeast"/>
        <w:ind w:firstLine="709"/>
      </w:pPr>
      <w:r>
        <w:rPr>
          <w:b/>
          <w:bCs/>
          <w:sz w:val="20"/>
          <w:szCs w:val="20"/>
        </w:rPr>
        <w:t>MADDE 2 –</w:t>
      </w:r>
      <w:r>
        <w:rPr>
          <w:sz w:val="20"/>
          <w:szCs w:val="20"/>
        </w:rPr>
        <w:t xml:space="preserve"> (1) Bu Yönetmelik, gıdaların mikrobiyolojik kriterleri ile gıda işletmecilerinin uyması ve uygulaması gereken kuralları kapsar.</w:t>
      </w:r>
    </w:p>
    <w:p w14:paraId="2103D7F8" w14:textId="77777777" w:rsidR="001A305A" w:rsidRDefault="001A305A" w:rsidP="001A305A">
      <w:pPr>
        <w:pStyle w:val="3-normalyaz"/>
        <w:spacing w:line="240" w:lineRule="atLeast"/>
        <w:ind w:firstLine="709"/>
      </w:pPr>
      <w:r>
        <w:rPr>
          <w:sz w:val="20"/>
          <w:szCs w:val="20"/>
        </w:rPr>
        <w:t>(2) Bu Yönetmelik,</w:t>
      </w:r>
    </w:p>
    <w:p w14:paraId="2B810456" w14:textId="77777777" w:rsidR="001A305A" w:rsidRDefault="001A305A" w:rsidP="001A305A">
      <w:pPr>
        <w:pStyle w:val="3-normalyaz"/>
        <w:spacing w:line="240" w:lineRule="atLeast"/>
        <w:ind w:firstLine="709"/>
      </w:pPr>
      <w:r>
        <w:rPr>
          <w:sz w:val="20"/>
          <w:szCs w:val="20"/>
        </w:rPr>
        <w:t xml:space="preserve">a) Mikroorganizmaların kontrolü için diğer özel kuralların belirlendiği 27/12/2011 tarihli ve 28155 sayılı Resmî </w:t>
      </w:r>
      <w:proofErr w:type="spellStart"/>
      <w:r>
        <w:rPr>
          <w:sz w:val="20"/>
          <w:szCs w:val="20"/>
        </w:rPr>
        <w:t>Gazete’de</w:t>
      </w:r>
      <w:proofErr w:type="spellEnd"/>
      <w:r>
        <w:rPr>
          <w:sz w:val="20"/>
          <w:szCs w:val="20"/>
        </w:rPr>
        <w:t xml:space="preserve"> yayımlanan Hayvansal Gıdalar İçin Özel Hijyen Kuralları Yönetmeliğinde yer alan gıdalara ait sağlık standartlarına,</w:t>
      </w:r>
    </w:p>
    <w:p w14:paraId="0F901669" w14:textId="77777777" w:rsidR="001A305A" w:rsidRDefault="001A305A" w:rsidP="001A305A">
      <w:pPr>
        <w:pStyle w:val="3-normalyaz"/>
        <w:spacing w:line="240" w:lineRule="atLeast"/>
        <w:ind w:firstLine="709"/>
      </w:pPr>
      <w:r>
        <w:rPr>
          <w:sz w:val="20"/>
          <w:szCs w:val="20"/>
        </w:rPr>
        <w:t xml:space="preserve">b) 17/12/2011 tarihli ve 28145 sayılı Resmî </w:t>
      </w:r>
      <w:proofErr w:type="spellStart"/>
      <w:r>
        <w:rPr>
          <w:sz w:val="20"/>
          <w:szCs w:val="20"/>
        </w:rPr>
        <w:t>Gazete’de</w:t>
      </w:r>
      <w:proofErr w:type="spellEnd"/>
      <w:r>
        <w:rPr>
          <w:sz w:val="20"/>
          <w:szCs w:val="20"/>
        </w:rPr>
        <w:t xml:space="preserve"> yayımlanan Hayvansal Gıdaların Resmi Kontrollerine İlişkin Özel Kuralları Belirleyen Yönetmelikte yer alan parazitlere,</w:t>
      </w:r>
    </w:p>
    <w:p w14:paraId="25B87258" w14:textId="77777777" w:rsidR="001A305A" w:rsidRDefault="001A305A" w:rsidP="001A305A">
      <w:pPr>
        <w:pStyle w:val="3-normalyaz"/>
        <w:spacing w:line="240" w:lineRule="atLeast"/>
        <w:ind w:firstLine="709"/>
      </w:pPr>
      <w:r>
        <w:rPr>
          <w:sz w:val="20"/>
          <w:szCs w:val="20"/>
        </w:rPr>
        <w:t xml:space="preserve">c) 17/2/2005 tarihli ve 25730 sayılı Resmî </w:t>
      </w:r>
      <w:proofErr w:type="spellStart"/>
      <w:r>
        <w:rPr>
          <w:sz w:val="20"/>
          <w:szCs w:val="20"/>
        </w:rPr>
        <w:t>Gazete’de</w:t>
      </w:r>
      <w:proofErr w:type="spellEnd"/>
      <w:r>
        <w:rPr>
          <w:sz w:val="20"/>
          <w:szCs w:val="20"/>
        </w:rPr>
        <w:t xml:space="preserve"> yayımlanan İnsani Tüketim Amaçlı Sular Hakkında Yönetmelikte yer alan mikrobiyolojik kriterlere,</w:t>
      </w:r>
    </w:p>
    <w:p w14:paraId="3007564A" w14:textId="77777777" w:rsidR="001A305A" w:rsidRDefault="001A305A" w:rsidP="001A305A">
      <w:pPr>
        <w:pStyle w:val="3-normalyaz"/>
        <w:spacing w:line="240" w:lineRule="atLeast"/>
        <w:ind w:firstLine="709"/>
      </w:pPr>
      <w:r>
        <w:rPr>
          <w:sz w:val="20"/>
          <w:szCs w:val="20"/>
        </w:rPr>
        <w:t>ilişkin hükümler saklı kalmak koşuluyla uygulanır.</w:t>
      </w:r>
    </w:p>
    <w:p w14:paraId="248610D4" w14:textId="77777777" w:rsidR="001A305A" w:rsidRDefault="001A305A" w:rsidP="001A305A">
      <w:pPr>
        <w:pStyle w:val="3-normalyaz"/>
        <w:spacing w:line="240" w:lineRule="atLeast"/>
        <w:ind w:firstLine="709"/>
      </w:pPr>
      <w:r>
        <w:rPr>
          <w:b/>
          <w:bCs/>
          <w:sz w:val="20"/>
          <w:szCs w:val="20"/>
        </w:rPr>
        <w:t>Dayanak</w:t>
      </w:r>
    </w:p>
    <w:p w14:paraId="4640547B" w14:textId="77777777" w:rsidR="001A305A" w:rsidRDefault="001A305A" w:rsidP="001A305A">
      <w:pPr>
        <w:pStyle w:val="3-normalyaz"/>
        <w:spacing w:line="240" w:lineRule="atLeast"/>
        <w:ind w:firstLine="709"/>
      </w:pPr>
      <w:r>
        <w:rPr>
          <w:b/>
          <w:bCs/>
          <w:sz w:val="20"/>
          <w:szCs w:val="20"/>
        </w:rPr>
        <w:t>MADDE 3 –</w:t>
      </w:r>
      <w:r>
        <w:rPr>
          <w:sz w:val="20"/>
          <w:szCs w:val="20"/>
        </w:rPr>
        <w:t xml:space="preserve"> (1) Bu Yönetmelik,</w:t>
      </w:r>
    </w:p>
    <w:p w14:paraId="2CF5C6C1" w14:textId="77777777" w:rsidR="001A305A" w:rsidRDefault="001A305A" w:rsidP="001A305A">
      <w:pPr>
        <w:pStyle w:val="3-normalyaz"/>
        <w:spacing w:line="240" w:lineRule="atLeast"/>
        <w:ind w:firstLine="709"/>
      </w:pPr>
      <w:r>
        <w:rPr>
          <w:sz w:val="20"/>
          <w:szCs w:val="20"/>
        </w:rPr>
        <w:t>a) 11/6/2010 tarihli ve 5996 sayılı Veteriner Hizmetleri, Bitki Sağlığı, Gıda ve Yem Kanununun 21, 22, 23, 24, 29, 30, 31, 32 ve 34 üncü maddelerine dayanılarak,</w:t>
      </w:r>
    </w:p>
    <w:p w14:paraId="6BD6AC4F" w14:textId="77777777" w:rsidR="001A305A" w:rsidRDefault="001A305A" w:rsidP="001A305A">
      <w:pPr>
        <w:pStyle w:val="3-normalyaz"/>
        <w:spacing w:line="240" w:lineRule="atLeast"/>
        <w:ind w:firstLine="709"/>
      </w:pPr>
      <w:r>
        <w:rPr>
          <w:sz w:val="20"/>
          <w:szCs w:val="20"/>
        </w:rPr>
        <w:t>b) 2073/2005/EC sayılı Gıda Maddeleri İçin Mikrobiyolojik Kriterler Hakkında Avrupa Birliği Komisyon Tüzüğüne paralel olarak,</w:t>
      </w:r>
    </w:p>
    <w:p w14:paraId="259D3681" w14:textId="77777777" w:rsidR="001A305A" w:rsidRDefault="001A305A" w:rsidP="001A305A">
      <w:pPr>
        <w:pStyle w:val="3-normalyaz"/>
        <w:spacing w:line="240" w:lineRule="atLeast"/>
        <w:ind w:firstLine="709"/>
      </w:pPr>
      <w:r>
        <w:rPr>
          <w:sz w:val="20"/>
          <w:szCs w:val="20"/>
        </w:rPr>
        <w:t>hazırlanmıştır.</w:t>
      </w:r>
    </w:p>
    <w:p w14:paraId="1B40CA9B" w14:textId="77777777" w:rsidR="001A305A" w:rsidRDefault="001A305A" w:rsidP="001A305A">
      <w:pPr>
        <w:pStyle w:val="3-normalyaz"/>
        <w:spacing w:line="240" w:lineRule="atLeast"/>
        <w:ind w:firstLine="709"/>
      </w:pPr>
      <w:r>
        <w:rPr>
          <w:b/>
          <w:bCs/>
          <w:sz w:val="20"/>
          <w:szCs w:val="20"/>
        </w:rPr>
        <w:t>Tanımlar</w:t>
      </w:r>
    </w:p>
    <w:p w14:paraId="1FA96AB0" w14:textId="77777777" w:rsidR="001A305A" w:rsidRDefault="001A305A" w:rsidP="001A305A">
      <w:pPr>
        <w:pStyle w:val="3-normalyaz"/>
        <w:spacing w:line="240" w:lineRule="atLeast"/>
        <w:ind w:firstLine="709"/>
      </w:pPr>
      <w:r>
        <w:rPr>
          <w:b/>
          <w:bCs/>
          <w:sz w:val="20"/>
          <w:szCs w:val="20"/>
        </w:rPr>
        <w:t>MADDE 4 –</w:t>
      </w:r>
      <w:r>
        <w:rPr>
          <w:sz w:val="20"/>
          <w:szCs w:val="20"/>
        </w:rPr>
        <w:t xml:space="preserve"> (1) 5996 sayılı Kanunun 3 üncü maddesindeki tanımlara ilave olarak ikinci fıkrada yer alan tanımlar da geçerlidir.</w:t>
      </w:r>
    </w:p>
    <w:p w14:paraId="416E9543" w14:textId="77777777" w:rsidR="001A305A" w:rsidRDefault="001A305A" w:rsidP="001A305A">
      <w:pPr>
        <w:pStyle w:val="3-normalyaz"/>
        <w:spacing w:line="240" w:lineRule="atLeast"/>
        <w:ind w:firstLine="709"/>
      </w:pPr>
      <w:r>
        <w:rPr>
          <w:sz w:val="20"/>
          <w:szCs w:val="20"/>
        </w:rPr>
        <w:t>(2) Bu Yönetmelikte geçen;</w:t>
      </w:r>
    </w:p>
    <w:p w14:paraId="4A611570" w14:textId="77777777" w:rsidR="001A305A" w:rsidRDefault="001A305A" w:rsidP="001A305A">
      <w:pPr>
        <w:pStyle w:val="3-normalyaz"/>
        <w:spacing w:line="240" w:lineRule="atLeast"/>
        <w:ind w:firstLine="709"/>
      </w:pPr>
      <w:r>
        <w:rPr>
          <w:sz w:val="20"/>
          <w:szCs w:val="20"/>
        </w:rPr>
        <w:t>a) Bakanlık: Gıda, Tarım ve Hayvancılık Bakanlığını,</w:t>
      </w:r>
    </w:p>
    <w:p w14:paraId="09804B53" w14:textId="77777777" w:rsidR="001A305A" w:rsidRDefault="001A305A" w:rsidP="001A305A">
      <w:pPr>
        <w:pStyle w:val="3-normalyaz"/>
        <w:spacing w:line="240" w:lineRule="atLeast"/>
        <w:ind w:firstLine="709"/>
      </w:pPr>
      <w:r>
        <w:rPr>
          <w:sz w:val="20"/>
          <w:szCs w:val="20"/>
        </w:rPr>
        <w:lastRenderedPageBreak/>
        <w:t>b) Bebek gıdaları: On iki ayın altındaki yaş grubu olarak tanımlanan bebeklerin özel beslenme ihtiyaçlarını karşılamak amacıyla üretilen gıdaları,</w:t>
      </w:r>
    </w:p>
    <w:p w14:paraId="19D65644" w14:textId="77777777" w:rsidR="001A305A" w:rsidRDefault="001A305A" w:rsidP="001A305A">
      <w:pPr>
        <w:pStyle w:val="3-normalyaz"/>
        <w:spacing w:line="240" w:lineRule="atLeast"/>
        <w:ind w:firstLine="709"/>
      </w:pPr>
      <w:r>
        <w:rPr>
          <w:sz w:val="20"/>
          <w:szCs w:val="20"/>
        </w:rPr>
        <w:t>c) Gıda güvenilirliği kriteri: Piyasada yer alan ürünlere uygulanan ve bir ürünün veya bir gıda partisinin kabul edilebilirliğini tanımlayan kriteri,</w:t>
      </w:r>
    </w:p>
    <w:p w14:paraId="4EB84180" w14:textId="77777777" w:rsidR="001A305A" w:rsidRDefault="001A305A" w:rsidP="001A305A">
      <w:pPr>
        <w:pStyle w:val="3-normalyaz"/>
        <w:spacing w:line="240" w:lineRule="atLeast"/>
        <w:ind w:firstLine="709"/>
      </w:pPr>
      <w:r>
        <w:rPr>
          <w:sz w:val="20"/>
          <w:szCs w:val="20"/>
        </w:rPr>
        <w:t xml:space="preserve">ç) Mikroorganizma ve bunların toksin ve </w:t>
      </w:r>
      <w:proofErr w:type="spellStart"/>
      <w:r>
        <w:rPr>
          <w:sz w:val="20"/>
          <w:szCs w:val="20"/>
        </w:rPr>
        <w:t>metabolitleri</w:t>
      </w:r>
      <w:proofErr w:type="spellEnd"/>
      <w:r>
        <w:rPr>
          <w:sz w:val="20"/>
          <w:szCs w:val="20"/>
        </w:rPr>
        <w:t xml:space="preserve">: Bakteri, virüs, maya, küf, alg, </w:t>
      </w:r>
      <w:proofErr w:type="spellStart"/>
      <w:r>
        <w:rPr>
          <w:sz w:val="20"/>
          <w:szCs w:val="20"/>
        </w:rPr>
        <w:t>parazitik</w:t>
      </w:r>
      <w:proofErr w:type="spellEnd"/>
      <w:r>
        <w:rPr>
          <w:sz w:val="20"/>
          <w:szCs w:val="20"/>
        </w:rPr>
        <w:t xml:space="preserve"> </w:t>
      </w:r>
      <w:proofErr w:type="spellStart"/>
      <w:r>
        <w:rPr>
          <w:sz w:val="20"/>
          <w:szCs w:val="20"/>
        </w:rPr>
        <w:t>protozoa</w:t>
      </w:r>
      <w:proofErr w:type="spellEnd"/>
      <w:r>
        <w:rPr>
          <w:sz w:val="20"/>
          <w:szCs w:val="20"/>
        </w:rPr>
        <w:t xml:space="preserve">, mikroskobik </w:t>
      </w:r>
      <w:proofErr w:type="spellStart"/>
      <w:r>
        <w:rPr>
          <w:sz w:val="20"/>
          <w:szCs w:val="20"/>
        </w:rPr>
        <w:t>parazitik</w:t>
      </w:r>
      <w:proofErr w:type="spellEnd"/>
      <w:r>
        <w:rPr>
          <w:sz w:val="20"/>
          <w:szCs w:val="20"/>
        </w:rPr>
        <w:t xml:space="preserve"> </w:t>
      </w:r>
      <w:proofErr w:type="spellStart"/>
      <w:r>
        <w:rPr>
          <w:sz w:val="20"/>
          <w:szCs w:val="20"/>
        </w:rPr>
        <w:t>helmint</w:t>
      </w:r>
      <w:proofErr w:type="spellEnd"/>
      <w:r>
        <w:rPr>
          <w:sz w:val="20"/>
          <w:szCs w:val="20"/>
        </w:rPr>
        <w:t xml:space="preserve"> ve bunların toksinleri ve </w:t>
      </w:r>
      <w:proofErr w:type="spellStart"/>
      <w:r>
        <w:rPr>
          <w:sz w:val="20"/>
          <w:szCs w:val="20"/>
        </w:rPr>
        <w:t>metabolitlerini</w:t>
      </w:r>
      <w:proofErr w:type="spellEnd"/>
      <w:r>
        <w:rPr>
          <w:sz w:val="20"/>
          <w:szCs w:val="20"/>
        </w:rPr>
        <w:t>,</w:t>
      </w:r>
    </w:p>
    <w:p w14:paraId="0DB59A54" w14:textId="77777777" w:rsidR="001A305A" w:rsidRDefault="001A305A" w:rsidP="001A305A">
      <w:pPr>
        <w:pStyle w:val="3-normalyaz"/>
        <w:spacing w:line="240" w:lineRule="atLeast"/>
        <w:ind w:firstLine="709"/>
      </w:pPr>
      <w:r>
        <w:rPr>
          <w:sz w:val="20"/>
          <w:szCs w:val="20"/>
        </w:rPr>
        <w:t xml:space="preserve">d) Mikrobiyolojik kriter: Bir gıdanın, bir gıda partisinin veya işlemin kabul edilebilirliğini belirlemede esas alınan; mikroorganizmaların varlığının/yokluğunun veya sayısının veya bunların toksinlerinin ve </w:t>
      </w:r>
      <w:proofErr w:type="spellStart"/>
      <w:r>
        <w:rPr>
          <w:sz w:val="20"/>
          <w:szCs w:val="20"/>
        </w:rPr>
        <w:t>metabolitlerinin</w:t>
      </w:r>
      <w:proofErr w:type="spellEnd"/>
      <w:r>
        <w:rPr>
          <w:sz w:val="20"/>
          <w:szCs w:val="20"/>
        </w:rPr>
        <w:t xml:space="preserve"> miktarının kütle, hacim, alan, parti veya birim başına belirlendiği kriteri,</w:t>
      </w:r>
    </w:p>
    <w:p w14:paraId="0AEE3F4B" w14:textId="77777777" w:rsidR="001A305A" w:rsidRDefault="001A305A" w:rsidP="001A305A">
      <w:pPr>
        <w:pStyle w:val="3-normalyaz"/>
        <w:spacing w:line="240" w:lineRule="atLeast"/>
        <w:ind w:firstLine="709"/>
      </w:pPr>
      <w:r>
        <w:rPr>
          <w:sz w:val="20"/>
          <w:szCs w:val="20"/>
        </w:rPr>
        <w:t>e) Mikrobiyolojik kriterlere uygunluk: 5996 sayılı Kanun ile ilgili kanuni düzenlemeler ve Bakanlık talimatlarına göre numunelerin alınması, analizin yapılması ve düzeltici faaliyetlerin yerine getirilmesi sırasında elde edilen verilerin Ek-1 ve Ek-2’de yer alan uygun veya kabul edilebilir sonuçları sağlanmasını,</w:t>
      </w:r>
    </w:p>
    <w:p w14:paraId="70FECB41" w14:textId="77777777" w:rsidR="001A305A" w:rsidRDefault="001A305A" w:rsidP="001A305A">
      <w:pPr>
        <w:pStyle w:val="3-normalyaz"/>
        <w:spacing w:line="240" w:lineRule="atLeast"/>
        <w:ind w:firstLine="709"/>
      </w:pPr>
      <w:r>
        <w:rPr>
          <w:sz w:val="20"/>
          <w:szCs w:val="20"/>
        </w:rPr>
        <w:t>f) Numune: Büyük bir partiden veya maddeden söz konusu parti veya maddenin belirli bir özelliği hakkında bilgi sağlamak ve bunların üretiminin gerçekleştirildiği işlem hakkında alınacak karara esas teşkil etmek amacıyla farklı yöntemler kullanılarak seçilen bir veya birden fazla birimden oluşan seti,</w:t>
      </w:r>
    </w:p>
    <w:p w14:paraId="79C8607D" w14:textId="77777777" w:rsidR="001A305A" w:rsidRDefault="001A305A" w:rsidP="001A305A">
      <w:pPr>
        <w:pStyle w:val="3-normalyaz"/>
        <w:spacing w:line="240" w:lineRule="atLeast"/>
        <w:ind w:firstLine="709"/>
      </w:pPr>
      <w:r>
        <w:rPr>
          <w:sz w:val="20"/>
          <w:szCs w:val="20"/>
        </w:rPr>
        <w:t>g) Özel tıbbi amaçlı gıdalar: Hastalık, rahatsızlık veya tıbbi durumdan etkilenen veya bu nedenlerle beslenme bozukluğu olan kişilerin beslenme gereksinimlerini karşılamak amacıyla hazırlanan ve tıbbi gözetim altında kullanılması gereken gıdaları,</w:t>
      </w:r>
    </w:p>
    <w:p w14:paraId="172AA090" w14:textId="77777777" w:rsidR="001A305A" w:rsidRDefault="001A305A" w:rsidP="001A305A">
      <w:pPr>
        <w:pStyle w:val="3-normalyaz"/>
        <w:spacing w:line="240" w:lineRule="atLeast"/>
        <w:ind w:firstLine="709"/>
      </w:pPr>
      <w:r>
        <w:rPr>
          <w:sz w:val="20"/>
          <w:szCs w:val="20"/>
        </w:rPr>
        <w:t>ğ) Parti: Aynı koşullar altında belirli bir işlemden sağlanan ve tanımlı bir üretim periyodu içerisinde belirli bir yerde üretilen, ürünlerin bir grubunu veya setini,</w:t>
      </w:r>
    </w:p>
    <w:p w14:paraId="595E5F3F" w14:textId="77777777" w:rsidR="001A305A" w:rsidRDefault="001A305A" w:rsidP="001A305A">
      <w:pPr>
        <w:pStyle w:val="3-normalyaz"/>
        <w:spacing w:line="240" w:lineRule="atLeast"/>
        <w:ind w:firstLine="709"/>
      </w:pPr>
      <w:r>
        <w:rPr>
          <w:sz w:val="20"/>
          <w:szCs w:val="20"/>
        </w:rPr>
        <w:t>h) Raf ömrü: Türk Gıda Kodeksi Etiketleme Yönetmeliğinde tanımlanan son tüketim tarihi veya tavsiye edilen tüketim tarihi ile uyumlu olan süreyi,</w:t>
      </w:r>
    </w:p>
    <w:p w14:paraId="1478D0CD" w14:textId="77777777" w:rsidR="001A305A" w:rsidRDefault="001A305A" w:rsidP="001A305A">
      <w:pPr>
        <w:pStyle w:val="3-normalyaz"/>
        <w:spacing w:line="240" w:lineRule="atLeast"/>
        <w:ind w:firstLine="709"/>
      </w:pPr>
      <w:r>
        <w:rPr>
          <w:sz w:val="20"/>
          <w:szCs w:val="20"/>
        </w:rPr>
        <w:t>ı) Temsili numune: Alındığı partinin özelliklerini taşıyan, partinin her bir parçası veya birincil numunesinin her birinden rastgele seçilen başlangıç numunesi ile aynı olasılığa sahip numuneyi,</w:t>
      </w:r>
    </w:p>
    <w:p w14:paraId="79EF04F0" w14:textId="77777777" w:rsidR="001A305A" w:rsidRDefault="001A305A" w:rsidP="001A305A">
      <w:pPr>
        <w:pStyle w:val="3-normalyaz"/>
        <w:spacing w:line="240" w:lineRule="atLeast"/>
        <w:ind w:firstLine="709"/>
      </w:pPr>
      <w:r>
        <w:rPr>
          <w:sz w:val="20"/>
          <w:szCs w:val="20"/>
        </w:rPr>
        <w:t xml:space="preserve">i) Tüketime hazır gıda: Gıda işletmecisi tarafından; gıdanın </w:t>
      </w:r>
      <w:proofErr w:type="spellStart"/>
      <w:r>
        <w:rPr>
          <w:sz w:val="20"/>
          <w:szCs w:val="20"/>
        </w:rPr>
        <w:t>mikrobiyel</w:t>
      </w:r>
      <w:proofErr w:type="spellEnd"/>
      <w:r>
        <w:rPr>
          <w:sz w:val="20"/>
          <w:szCs w:val="20"/>
        </w:rPr>
        <w:t xml:space="preserve"> yükünü azaltacak veya kabul edilebilir seviyeye düşürecek pişirme veya herhangi başka bir işleme ihtiyaç olmaksızın, doğrudan insan tüketimine sunulması amaçlanarak üretilen gıdayı,</w:t>
      </w:r>
    </w:p>
    <w:p w14:paraId="619D5B6E" w14:textId="77777777" w:rsidR="001A305A" w:rsidRDefault="001A305A" w:rsidP="001A305A">
      <w:pPr>
        <w:pStyle w:val="3-normalyaz"/>
        <w:spacing w:line="240" w:lineRule="atLeast"/>
        <w:ind w:firstLine="709"/>
      </w:pPr>
      <w:r>
        <w:rPr>
          <w:sz w:val="20"/>
          <w:szCs w:val="20"/>
        </w:rPr>
        <w:t>j) Üretim hijyeni kriteri: Üretim işleminin kabul edilebilirliğini gösteren, piyasada yer alan ürüne uygulanmayan, bu kriterin üzerindeki değerlerde 5996 sayılı Kanun ile uyumlu üretim hijyenini sağlamak için düzeltici faaliyetlere ihtiyaç duyulan, indikatör bulaşma değerini,</w:t>
      </w:r>
    </w:p>
    <w:p w14:paraId="6CC968B2" w14:textId="77777777" w:rsidR="001A305A" w:rsidRDefault="001A305A" w:rsidP="001A305A">
      <w:pPr>
        <w:pStyle w:val="3-normalyaz"/>
        <w:spacing w:line="240" w:lineRule="atLeast"/>
        <w:ind w:firstLine="709"/>
      </w:pPr>
      <w:r>
        <w:rPr>
          <w:sz w:val="20"/>
          <w:szCs w:val="20"/>
        </w:rPr>
        <w:t>ifade eder.</w:t>
      </w:r>
    </w:p>
    <w:p w14:paraId="05C2576C" w14:textId="77777777" w:rsidR="001A305A" w:rsidRDefault="001A305A" w:rsidP="001A305A">
      <w:pPr>
        <w:pStyle w:val="2-ortabaslk"/>
        <w:spacing w:line="240" w:lineRule="atLeast"/>
        <w:ind w:firstLine="709"/>
      </w:pPr>
      <w:r>
        <w:rPr>
          <w:sz w:val="20"/>
          <w:szCs w:val="20"/>
        </w:rPr>
        <w:t>İKİNCİ BÖLÜM</w:t>
      </w:r>
    </w:p>
    <w:p w14:paraId="0BA08D4C" w14:textId="77777777" w:rsidR="001A305A" w:rsidRDefault="001A305A" w:rsidP="001A305A">
      <w:pPr>
        <w:pStyle w:val="2-ortabaslk"/>
        <w:spacing w:line="240" w:lineRule="atLeast"/>
        <w:ind w:firstLine="709"/>
      </w:pPr>
      <w:r>
        <w:rPr>
          <w:sz w:val="20"/>
          <w:szCs w:val="20"/>
        </w:rPr>
        <w:t>Genel Hükümler</w:t>
      </w:r>
    </w:p>
    <w:p w14:paraId="295965E4" w14:textId="77777777" w:rsidR="001A305A" w:rsidRDefault="001A305A" w:rsidP="001A305A">
      <w:pPr>
        <w:pStyle w:val="3-normalyaz"/>
        <w:spacing w:line="240" w:lineRule="atLeast"/>
        <w:ind w:firstLine="709"/>
      </w:pPr>
      <w:r>
        <w:rPr>
          <w:b/>
          <w:bCs/>
          <w:sz w:val="20"/>
          <w:szCs w:val="20"/>
        </w:rPr>
        <w:t>Genel hükümler</w:t>
      </w:r>
    </w:p>
    <w:p w14:paraId="65A6A807" w14:textId="77777777" w:rsidR="001A305A" w:rsidRDefault="001A305A" w:rsidP="001A305A">
      <w:pPr>
        <w:pStyle w:val="3-normalyaz"/>
        <w:spacing w:line="240" w:lineRule="atLeast"/>
        <w:ind w:firstLine="709"/>
      </w:pPr>
      <w:r>
        <w:rPr>
          <w:b/>
          <w:bCs/>
          <w:sz w:val="20"/>
          <w:szCs w:val="20"/>
        </w:rPr>
        <w:t>MADDE 5 –</w:t>
      </w:r>
      <w:r>
        <w:rPr>
          <w:sz w:val="20"/>
          <w:szCs w:val="20"/>
        </w:rPr>
        <w:t xml:space="preserve"> (1) Gıda işletmecisi; gıdaların, Ek-1 ve Ek-2’de belirlenen mikrobiyolojik kriterlere uygunluğunun sağlanmasından sorumludur. Perakende satış yeri dâhil üretim, işleme ve dağıtımın her bir basamağındaki gıda işletmecisi;</w:t>
      </w:r>
    </w:p>
    <w:p w14:paraId="45890A55" w14:textId="77777777" w:rsidR="001A305A" w:rsidRDefault="001A305A" w:rsidP="001A305A">
      <w:pPr>
        <w:pStyle w:val="3-normalyaz"/>
        <w:spacing w:line="240" w:lineRule="atLeast"/>
        <w:ind w:firstLine="709"/>
      </w:pPr>
      <w:r>
        <w:rPr>
          <w:sz w:val="20"/>
          <w:szCs w:val="20"/>
        </w:rPr>
        <w:lastRenderedPageBreak/>
        <w:t>a) Gıda ve ham maddenin temini, taşınması ve işlenmesi sırasında Ek-2’de yer alan üretim hijyeni kriterlerine,</w:t>
      </w:r>
    </w:p>
    <w:p w14:paraId="355E2709" w14:textId="77777777" w:rsidR="001A305A" w:rsidRDefault="001A305A" w:rsidP="001A305A">
      <w:pPr>
        <w:pStyle w:val="3-normalyaz"/>
        <w:spacing w:line="240" w:lineRule="atLeast"/>
        <w:ind w:firstLine="709"/>
      </w:pPr>
      <w:r>
        <w:rPr>
          <w:sz w:val="20"/>
          <w:szCs w:val="20"/>
        </w:rPr>
        <w:t>b) Dağıtım, depolama ve kullanımın öngörülen şartları da dikkate alınarak ürünün raf ömrü boyunca uygulanan ve Ek-1’de yer alan gıda güvenilirliği kriterlerine,</w:t>
      </w:r>
    </w:p>
    <w:p w14:paraId="780C5B09" w14:textId="77777777" w:rsidR="001A305A" w:rsidRDefault="001A305A" w:rsidP="001A305A">
      <w:pPr>
        <w:pStyle w:val="3-normalyaz"/>
        <w:spacing w:line="240" w:lineRule="atLeast"/>
        <w:ind w:firstLine="709"/>
      </w:pPr>
      <w:r>
        <w:rPr>
          <w:sz w:val="20"/>
          <w:szCs w:val="20"/>
        </w:rPr>
        <w:t xml:space="preserve">uygunluğu sağlamak için 17/12/2011 tarihli ve 28145 sayılı Resmî </w:t>
      </w:r>
      <w:proofErr w:type="spellStart"/>
      <w:r>
        <w:rPr>
          <w:sz w:val="20"/>
          <w:szCs w:val="20"/>
        </w:rPr>
        <w:t>Gazete’de</w:t>
      </w:r>
      <w:proofErr w:type="spellEnd"/>
      <w:r>
        <w:rPr>
          <w:sz w:val="20"/>
          <w:szCs w:val="20"/>
        </w:rPr>
        <w:t xml:space="preserve"> yayımlanan Gıda Hijyeni Yönetmeliğinde belirlenen iyi hijyen uygulamaları ile birlikte tehlike analizi ve kritik kontrol noktaları (HACCP) ilkelerine dayalı prosedürlerinin bir parçası olarak tedbirler alır.</w:t>
      </w:r>
    </w:p>
    <w:p w14:paraId="0D0D4F26" w14:textId="77777777" w:rsidR="001A305A" w:rsidRDefault="001A305A" w:rsidP="001A305A">
      <w:pPr>
        <w:pStyle w:val="3-normalyaz"/>
        <w:spacing w:line="240" w:lineRule="atLeast"/>
        <w:ind w:firstLine="709"/>
      </w:pPr>
      <w:r>
        <w:rPr>
          <w:sz w:val="20"/>
          <w:szCs w:val="20"/>
        </w:rPr>
        <w:t xml:space="preserve">(2) Bakanlık, güvenilirliğinden şüphe edilen gıdalar için Ek-1’de yer almayan mikroorganizma ve bunların toksin ve </w:t>
      </w:r>
      <w:proofErr w:type="spellStart"/>
      <w:r>
        <w:rPr>
          <w:sz w:val="20"/>
          <w:szCs w:val="20"/>
        </w:rPr>
        <w:t>metabolitlerini</w:t>
      </w:r>
      <w:proofErr w:type="spellEnd"/>
      <w:r>
        <w:rPr>
          <w:sz w:val="20"/>
          <w:szCs w:val="20"/>
        </w:rPr>
        <w:t xml:space="preserve"> tespit etmek amacıyla işlemin uygunluğunun doğrulanması veya risk analizi kapsamında daha ayrıntılı numune alma ve analiz yapma hakkına sahiptir. Bu amaçla Ek-3’te yer alan kriterler dikkate alınır.</w:t>
      </w:r>
    </w:p>
    <w:p w14:paraId="52A2276A" w14:textId="77777777" w:rsidR="001A305A" w:rsidRDefault="001A305A" w:rsidP="001A305A">
      <w:pPr>
        <w:pStyle w:val="3-normalyaz"/>
        <w:spacing w:line="240" w:lineRule="atLeast"/>
        <w:ind w:firstLine="709"/>
      </w:pPr>
      <w:r>
        <w:rPr>
          <w:sz w:val="20"/>
          <w:szCs w:val="20"/>
        </w:rPr>
        <w:t>(3) Gıda işletmecisi; Ek-2’de yer alan üretim hijyeni kriterlerine uygunluğu sağlamak için EK-4’te belirlenen kurallara göre numune alınmasının temininden sorumludur.</w:t>
      </w:r>
    </w:p>
    <w:p w14:paraId="31CEF9B5" w14:textId="77777777" w:rsidR="001A305A" w:rsidRDefault="001A305A" w:rsidP="001A305A">
      <w:pPr>
        <w:pStyle w:val="3-normalyaz"/>
        <w:spacing w:line="240" w:lineRule="atLeast"/>
        <w:ind w:firstLine="709"/>
      </w:pPr>
      <w:r>
        <w:rPr>
          <w:sz w:val="20"/>
          <w:szCs w:val="20"/>
        </w:rPr>
        <w:t>(4) Gıda işletmecisi; bu Yönetmelik yükümlülüklerini yerine getirmek üzere Bakanlık tarafından çıkarılan iyi hijyen uygulama kılavuzlarını da kullanabilir.</w:t>
      </w:r>
    </w:p>
    <w:p w14:paraId="6C4E5351" w14:textId="77777777" w:rsidR="001A305A" w:rsidRDefault="001A305A" w:rsidP="001A305A">
      <w:pPr>
        <w:pStyle w:val="3-normalyaz"/>
        <w:spacing w:line="240" w:lineRule="atLeast"/>
        <w:ind w:firstLine="709"/>
      </w:pPr>
      <w:r>
        <w:rPr>
          <w:b/>
          <w:bCs/>
          <w:sz w:val="20"/>
          <w:szCs w:val="20"/>
        </w:rPr>
        <w:t>Kriterlere ilişkin analizler</w:t>
      </w:r>
    </w:p>
    <w:p w14:paraId="13DF3DF8" w14:textId="77777777" w:rsidR="001A305A" w:rsidRDefault="001A305A" w:rsidP="001A305A">
      <w:pPr>
        <w:pStyle w:val="3-normalyaz"/>
        <w:spacing w:line="240" w:lineRule="atLeast"/>
        <w:ind w:firstLine="709"/>
      </w:pPr>
      <w:r>
        <w:rPr>
          <w:b/>
          <w:bCs/>
          <w:sz w:val="20"/>
          <w:szCs w:val="20"/>
        </w:rPr>
        <w:t>MADDE 6 –</w:t>
      </w:r>
      <w:r>
        <w:rPr>
          <w:sz w:val="20"/>
          <w:szCs w:val="20"/>
        </w:rPr>
        <w:t xml:space="preserve"> (1) Gıda işletmecisi; iyi hijyen uygulamalarına ve HACCP ilkelerine dayalı prosedürlerini doğruladığını veya onayladığını göstermek için Ek-1 ve Ek-2’de yer alan mikrobiyolojik kriterlere yönelik uygun analiz metodunun gerçekleşmesini sağlar.</w:t>
      </w:r>
    </w:p>
    <w:p w14:paraId="76590A2A" w14:textId="77777777" w:rsidR="001A305A" w:rsidRDefault="001A305A" w:rsidP="001A305A">
      <w:pPr>
        <w:pStyle w:val="3-normalyaz"/>
        <w:spacing w:line="240" w:lineRule="atLeast"/>
        <w:ind w:firstLine="709"/>
      </w:pPr>
      <w:r>
        <w:rPr>
          <w:sz w:val="20"/>
          <w:szCs w:val="20"/>
        </w:rPr>
        <w:t>(2) Gıda işletmecisi; Ek-1 ve Ek-2’de belirlenmiş numune sayısından az olmamak şartıyla en uygun numune alma sıklığına karar verir. Gıda işletmecisi bu kararı; gıdanın tüketim talimatlarını da dikkate alarak, iyi hijyen uygulamalarına ve HACCP ilkelerine dayalı oluşturulan prosedürlerine göre verir.</w:t>
      </w:r>
    </w:p>
    <w:p w14:paraId="50E7DA81" w14:textId="77777777" w:rsidR="001A305A" w:rsidRDefault="001A305A" w:rsidP="001A305A">
      <w:pPr>
        <w:pStyle w:val="3-normalyaz"/>
        <w:spacing w:line="240" w:lineRule="atLeast"/>
        <w:ind w:firstLine="709"/>
      </w:pPr>
      <w:r>
        <w:rPr>
          <w:sz w:val="20"/>
          <w:szCs w:val="20"/>
        </w:rPr>
        <w:t>(3) Numune alma sıklığı; gıda güvenilirliği tehlikeye girmeyecek şekilde, gıda işletmesinin büyüklüğü, özelliği ve yapısına göre belirlenebilir.</w:t>
      </w:r>
    </w:p>
    <w:p w14:paraId="69B65A68" w14:textId="77777777" w:rsidR="001A305A" w:rsidRDefault="001A305A" w:rsidP="001A305A">
      <w:pPr>
        <w:pStyle w:val="3-normalyaz"/>
        <w:spacing w:line="240" w:lineRule="atLeast"/>
        <w:ind w:firstLine="709"/>
      </w:pPr>
      <w:r>
        <w:rPr>
          <w:sz w:val="20"/>
          <w:szCs w:val="20"/>
        </w:rPr>
        <w:t>(4) Bu Yönetmelik kapsamındaki gıdalardan Ek-1’de belirtilen (n) sayıda numune alınır. Ancak gıda satış ve toplu tüketim yerlerinden bir adet numune alınıp, "M" değerine göre değerlendirilir.</w:t>
      </w:r>
    </w:p>
    <w:p w14:paraId="13B735EE" w14:textId="77777777" w:rsidR="001A305A" w:rsidRDefault="001A305A" w:rsidP="001A305A">
      <w:pPr>
        <w:pStyle w:val="2-ortabaslk"/>
        <w:spacing w:line="240" w:lineRule="atLeast"/>
        <w:ind w:firstLine="709"/>
      </w:pPr>
      <w:r>
        <w:rPr>
          <w:sz w:val="20"/>
          <w:szCs w:val="20"/>
        </w:rPr>
        <w:t>ÜÇÜNCÜ BÖLÜM</w:t>
      </w:r>
    </w:p>
    <w:p w14:paraId="769C9F62" w14:textId="77777777" w:rsidR="001A305A" w:rsidRDefault="001A305A" w:rsidP="001A305A">
      <w:pPr>
        <w:pStyle w:val="2-ortabaslk"/>
        <w:spacing w:line="240" w:lineRule="atLeast"/>
        <w:ind w:firstLine="709"/>
      </w:pPr>
      <w:r>
        <w:rPr>
          <w:sz w:val="20"/>
          <w:szCs w:val="20"/>
        </w:rPr>
        <w:t>Numune Alma ve Analiz Metotları İçin Özel Hükümler</w:t>
      </w:r>
    </w:p>
    <w:p w14:paraId="719B6E15" w14:textId="77777777" w:rsidR="001A305A" w:rsidRDefault="001A305A" w:rsidP="001A305A">
      <w:pPr>
        <w:pStyle w:val="3-normalyaz"/>
        <w:spacing w:line="240" w:lineRule="atLeast"/>
        <w:ind w:firstLine="709"/>
      </w:pPr>
      <w:r>
        <w:rPr>
          <w:b/>
          <w:bCs/>
          <w:sz w:val="20"/>
          <w:szCs w:val="20"/>
        </w:rPr>
        <w:t>Numune alma ve analiz metotları</w:t>
      </w:r>
    </w:p>
    <w:p w14:paraId="72DB02A7" w14:textId="77777777" w:rsidR="001A305A" w:rsidRDefault="001A305A" w:rsidP="001A305A">
      <w:pPr>
        <w:pStyle w:val="3-normalyaz"/>
        <w:spacing w:line="240" w:lineRule="atLeast"/>
        <w:ind w:firstLine="709"/>
      </w:pPr>
      <w:r>
        <w:rPr>
          <w:b/>
          <w:bCs/>
          <w:sz w:val="20"/>
          <w:szCs w:val="20"/>
        </w:rPr>
        <w:t xml:space="preserve">MADDE 7 – </w:t>
      </w:r>
      <w:r>
        <w:rPr>
          <w:sz w:val="20"/>
          <w:szCs w:val="20"/>
        </w:rPr>
        <w:t>(1) Ek-1 ve Ek-2’de belirlenen numune alma planları ve analiz metotları referans metot olarak kullanılır.</w:t>
      </w:r>
    </w:p>
    <w:p w14:paraId="5701B794" w14:textId="77777777" w:rsidR="001A305A" w:rsidRDefault="001A305A" w:rsidP="001A305A">
      <w:pPr>
        <w:pStyle w:val="3-normalyaz"/>
        <w:spacing w:line="240" w:lineRule="atLeast"/>
        <w:ind w:firstLine="709"/>
      </w:pPr>
      <w:r>
        <w:rPr>
          <w:sz w:val="20"/>
          <w:szCs w:val="20"/>
        </w:rPr>
        <w:t>(2) Kriterlerin sağlandığını garanti etmek amacıyla numune alınması gerektiğinde bu numuneler; üretim alanlarından ve üretimde kullanılan ekipmanlardan alınır. Buna göre;</w:t>
      </w:r>
    </w:p>
    <w:p w14:paraId="77EC8CCB" w14:textId="77777777" w:rsidR="001A305A" w:rsidRDefault="001A305A" w:rsidP="001A305A">
      <w:pPr>
        <w:pStyle w:val="3-normalyaz"/>
        <w:spacing w:line="240" w:lineRule="atLeast"/>
        <w:ind w:firstLine="709"/>
      </w:pPr>
      <w:r>
        <w:rPr>
          <w:sz w:val="20"/>
          <w:szCs w:val="20"/>
        </w:rPr>
        <w:t>a) Numune almada, ISO 18593 sayılı standart, referans metot olarak kullanılır.</w:t>
      </w:r>
    </w:p>
    <w:p w14:paraId="48E23464" w14:textId="77777777" w:rsidR="001A305A" w:rsidRDefault="001A305A" w:rsidP="001A305A">
      <w:pPr>
        <w:pStyle w:val="3-normalyaz"/>
        <w:spacing w:line="240" w:lineRule="atLeast"/>
        <w:ind w:firstLine="709"/>
      </w:pPr>
      <w:r>
        <w:rPr>
          <w:sz w:val="20"/>
          <w:szCs w:val="20"/>
        </w:rPr>
        <w:t xml:space="preserve">b) İnsan sağlığı açısından </w:t>
      </w:r>
      <w:proofErr w:type="spellStart"/>
      <w:r>
        <w:rPr>
          <w:sz w:val="20"/>
          <w:szCs w:val="20"/>
        </w:rPr>
        <w:t>Listeria</w:t>
      </w:r>
      <w:proofErr w:type="spellEnd"/>
      <w:r>
        <w:rPr>
          <w:sz w:val="20"/>
          <w:szCs w:val="20"/>
        </w:rPr>
        <w:t xml:space="preserve"> </w:t>
      </w:r>
      <w:proofErr w:type="spellStart"/>
      <w:r>
        <w:rPr>
          <w:sz w:val="20"/>
          <w:szCs w:val="20"/>
        </w:rPr>
        <w:t>monocytogenes</w:t>
      </w:r>
      <w:proofErr w:type="spellEnd"/>
      <w:r>
        <w:rPr>
          <w:sz w:val="20"/>
          <w:szCs w:val="20"/>
        </w:rPr>
        <w:t xml:space="preserve"> riski oluşturabilecek tüketime hazır gıda üreten gıda işletmecisi, numune alma planlarının bir parçası olarak üretim alanlarından ve ekipmanlarından da numune alır.</w:t>
      </w:r>
    </w:p>
    <w:p w14:paraId="2900C8DB" w14:textId="77777777" w:rsidR="001A305A" w:rsidRDefault="001A305A" w:rsidP="001A305A">
      <w:pPr>
        <w:pStyle w:val="3-normalyaz"/>
        <w:spacing w:line="240" w:lineRule="atLeast"/>
        <w:ind w:firstLine="709"/>
      </w:pPr>
      <w:r>
        <w:rPr>
          <w:sz w:val="20"/>
          <w:szCs w:val="20"/>
        </w:rPr>
        <w:t xml:space="preserve">c) Kurutulmuş bebek formülleri veya altı ayın altındaki bebekler için özel tıbbi amaçlı kurutulmuş gıdalar üreten gıda işletmecisi, </w:t>
      </w:r>
      <w:proofErr w:type="spellStart"/>
      <w:r>
        <w:rPr>
          <w:sz w:val="20"/>
          <w:szCs w:val="20"/>
        </w:rPr>
        <w:t>Cronobacter</w:t>
      </w:r>
      <w:proofErr w:type="spellEnd"/>
      <w:r>
        <w:rPr>
          <w:sz w:val="20"/>
          <w:szCs w:val="20"/>
        </w:rPr>
        <w:t xml:space="preserve"> </w:t>
      </w:r>
      <w:proofErr w:type="spellStart"/>
      <w:r>
        <w:rPr>
          <w:sz w:val="20"/>
          <w:szCs w:val="20"/>
        </w:rPr>
        <w:t>sakazakii</w:t>
      </w:r>
      <w:proofErr w:type="spellEnd"/>
      <w:r>
        <w:rPr>
          <w:sz w:val="20"/>
          <w:szCs w:val="20"/>
        </w:rPr>
        <w:t xml:space="preserve"> riski için, numune alma planlarının bir parçası olarak </w:t>
      </w:r>
      <w:proofErr w:type="spellStart"/>
      <w:r>
        <w:rPr>
          <w:sz w:val="20"/>
          <w:szCs w:val="20"/>
        </w:rPr>
        <w:t>Enterobacteriaceae</w:t>
      </w:r>
      <w:proofErr w:type="spellEnd"/>
      <w:r>
        <w:rPr>
          <w:sz w:val="20"/>
          <w:szCs w:val="20"/>
        </w:rPr>
        <w:t xml:space="preserve"> için, üretim alanlarından ve ekipmanlarından da numune alır.</w:t>
      </w:r>
    </w:p>
    <w:p w14:paraId="1E263BF3" w14:textId="77777777" w:rsidR="001A305A" w:rsidRDefault="001A305A" w:rsidP="001A305A">
      <w:pPr>
        <w:pStyle w:val="3-normalyaz"/>
        <w:spacing w:line="240" w:lineRule="atLeast"/>
        <w:ind w:firstLine="709"/>
      </w:pPr>
      <w:r>
        <w:rPr>
          <w:sz w:val="20"/>
          <w:szCs w:val="20"/>
        </w:rPr>
        <w:t>(3) Gıda işletmecisi HACCP ilkelerine dayalı etkili bir üretim yaptığını geriye dönük kayıtlarıyla gösterebiliyorsa, Ek-1 ve Ek-2’de belirlenen numune alma planlarındaki numune sayısı azaltılabilir.</w:t>
      </w:r>
    </w:p>
    <w:p w14:paraId="3BD68A35" w14:textId="77777777" w:rsidR="001A305A" w:rsidRDefault="001A305A" w:rsidP="001A305A">
      <w:pPr>
        <w:pStyle w:val="3-normalyaz"/>
        <w:spacing w:line="240" w:lineRule="atLeast"/>
        <w:ind w:firstLine="709"/>
      </w:pPr>
      <w:r>
        <w:rPr>
          <w:sz w:val="20"/>
          <w:szCs w:val="20"/>
        </w:rPr>
        <w:t>(4) Analizin amacı, özellikle bir işlemin veya bir gıda partisinin kabul edilebilirliğini belirlemek ise Ek-1 ve Ek-2’de belirtilen numune alma planları en düşük sayı olarak kabul edilir.</w:t>
      </w:r>
    </w:p>
    <w:p w14:paraId="3080DE2F" w14:textId="77777777" w:rsidR="001A305A" w:rsidRDefault="001A305A" w:rsidP="001A305A">
      <w:pPr>
        <w:pStyle w:val="3-normalyaz"/>
        <w:spacing w:line="240" w:lineRule="atLeast"/>
        <w:ind w:firstLine="709"/>
      </w:pPr>
      <w:r>
        <w:rPr>
          <w:sz w:val="20"/>
          <w:szCs w:val="20"/>
        </w:rPr>
        <w:t>(5) Gıda işletmecisi, bu Yönetmelikte belirtilenlerin dışında diğer bir numune alma ve analiz metodunu kullanabilir. Ancak bu takdirde, kullandığı metotların en az eşdeğer garantiyi sağladığını Bakanlık yetkilisine kanıtlamak zorundadır. Buna göre;</w:t>
      </w:r>
    </w:p>
    <w:p w14:paraId="5AD87D20" w14:textId="77777777" w:rsidR="001A305A" w:rsidRDefault="001A305A" w:rsidP="001A305A">
      <w:pPr>
        <w:pStyle w:val="3-normalyaz"/>
        <w:spacing w:line="240" w:lineRule="atLeast"/>
        <w:ind w:firstLine="709"/>
      </w:pPr>
      <w:r>
        <w:rPr>
          <w:sz w:val="20"/>
          <w:szCs w:val="20"/>
        </w:rPr>
        <w:t>a) Bu metotlar, alternatif numune alma aşamalarını ve yeni analiz metotlarının kullanımını içerebilir.</w:t>
      </w:r>
    </w:p>
    <w:p w14:paraId="3E451C7A" w14:textId="77777777" w:rsidR="001A305A" w:rsidRDefault="001A305A" w:rsidP="001A305A">
      <w:pPr>
        <w:pStyle w:val="3-normalyaz"/>
        <w:spacing w:line="240" w:lineRule="atLeast"/>
        <w:ind w:firstLine="709"/>
      </w:pPr>
      <w:r>
        <w:rPr>
          <w:sz w:val="20"/>
          <w:szCs w:val="20"/>
        </w:rPr>
        <w:t>b) Ek-2’de yer almayan mikroorganizmalar ve ilgili mikrobiyolojik limitlerin yanı sıra mikrobiyolojik olmayan analizlerin yapılmasına sadece üretim hijyeni kriterleri için izin verilir.</w:t>
      </w:r>
    </w:p>
    <w:p w14:paraId="7C6244B7" w14:textId="77777777" w:rsidR="001A305A" w:rsidRDefault="001A305A" w:rsidP="001A305A">
      <w:pPr>
        <w:pStyle w:val="3-normalyaz"/>
        <w:spacing w:line="240" w:lineRule="atLeast"/>
        <w:ind w:firstLine="709"/>
      </w:pPr>
      <w:r>
        <w:rPr>
          <w:sz w:val="20"/>
          <w:szCs w:val="20"/>
        </w:rPr>
        <w:t>c) Alternatif analiz metotlarının kullanımı; Ek-1 ve Ek-2’de verilen referans metotlara karşı onaylanması ve EN/ISO 16140 sayılı standart veya diğer uluslararası kabul görmüş benzer bir standart da yer alan protokoller doğrultusunda sertifikalandırılmış tescilli bir metot olması halinde kabul edilir.</w:t>
      </w:r>
    </w:p>
    <w:p w14:paraId="60F31CDC" w14:textId="77777777" w:rsidR="001A305A" w:rsidRDefault="001A305A" w:rsidP="001A305A">
      <w:pPr>
        <w:pStyle w:val="3-normalyaz"/>
        <w:spacing w:line="240" w:lineRule="atLeast"/>
        <w:ind w:firstLine="709"/>
      </w:pPr>
      <w:r>
        <w:rPr>
          <w:sz w:val="20"/>
          <w:szCs w:val="20"/>
        </w:rPr>
        <w:t>ç) Gıda işletmecisi, (c) bendinde tanımlanan onaylanmış ve sertifikalandırılmış metotların dışındaki analiz metotlarını kullanmak isterse, bu metotlar uluslararası kabul edilmiş protokollere göre onaylanır ve kullanımları Bakanlık tarafından yetkilendirilir.</w:t>
      </w:r>
    </w:p>
    <w:p w14:paraId="69A711D7" w14:textId="77777777" w:rsidR="001A305A" w:rsidRDefault="001A305A" w:rsidP="001A305A">
      <w:pPr>
        <w:pStyle w:val="2-ortabaslk"/>
        <w:spacing w:line="240" w:lineRule="atLeast"/>
        <w:ind w:firstLine="709"/>
      </w:pPr>
      <w:r>
        <w:rPr>
          <w:sz w:val="20"/>
          <w:szCs w:val="20"/>
        </w:rPr>
        <w:t>DÖRDÜNCÜ BÖLÜM</w:t>
      </w:r>
    </w:p>
    <w:p w14:paraId="496450DA" w14:textId="77777777" w:rsidR="001A305A" w:rsidRDefault="001A305A" w:rsidP="001A305A">
      <w:pPr>
        <w:pStyle w:val="2-ortabaslk"/>
        <w:spacing w:line="240" w:lineRule="atLeast"/>
        <w:ind w:firstLine="709"/>
      </w:pPr>
      <w:r>
        <w:rPr>
          <w:sz w:val="20"/>
          <w:szCs w:val="20"/>
        </w:rPr>
        <w:t>Özel Hükümler</w:t>
      </w:r>
    </w:p>
    <w:p w14:paraId="287E9CAE" w14:textId="77777777" w:rsidR="001A305A" w:rsidRDefault="001A305A" w:rsidP="001A305A">
      <w:pPr>
        <w:pStyle w:val="3-normalyaz"/>
        <w:spacing w:line="240" w:lineRule="atLeast"/>
        <w:ind w:firstLine="709"/>
      </w:pPr>
      <w:r>
        <w:rPr>
          <w:b/>
          <w:bCs/>
          <w:sz w:val="20"/>
          <w:szCs w:val="20"/>
        </w:rPr>
        <w:t>Uygun olmayan sonuçlar</w:t>
      </w:r>
    </w:p>
    <w:p w14:paraId="1C4D7EC1" w14:textId="77777777" w:rsidR="001A305A" w:rsidRDefault="001A305A" w:rsidP="001A305A">
      <w:pPr>
        <w:pStyle w:val="3-normalyaz"/>
        <w:spacing w:line="240" w:lineRule="atLeast"/>
        <w:ind w:firstLine="709"/>
      </w:pPr>
      <w:r>
        <w:rPr>
          <w:b/>
          <w:bCs/>
          <w:sz w:val="20"/>
          <w:szCs w:val="20"/>
        </w:rPr>
        <w:t>MADDE 8 –</w:t>
      </w:r>
      <w:r>
        <w:rPr>
          <w:sz w:val="20"/>
          <w:szCs w:val="20"/>
        </w:rPr>
        <w:t xml:space="preserve"> (1) Analiz sonuçları, Ek-1 ve Ek-2’de belirlenen kriterlere uygun değilse gıda işletmecisi, HACCP ilkelerine dayalı prosedürlerinde tanımladığı düzeltici faaliyetler ve tüketici sağlığını korumak için gerekli diğer faaliyetler ile birlikte ikinci, üçüncü ve dördüncü fıkralarda belirtilen tedbirleri alır.</w:t>
      </w:r>
    </w:p>
    <w:p w14:paraId="640466C9" w14:textId="77777777" w:rsidR="001A305A" w:rsidRDefault="001A305A" w:rsidP="001A305A">
      <w:pPr>
        <w:pStyle w:val="3-normalyaz"/>
        <w:spacing w:line="240" w:lineRule="atLeast"/>
        <w:ind w:firstLine="709"/>
      </w:pPr>
      <w:r>
        <w:rPr>
          <w:sz w:val="20"/>
          <w:szCs w:val="20"/>
        </w:rPr>
        <w:t>(2) Gıda işletmecisi, mikrobiyolojik bulaşmanın yeniden oluşmasını engellemek amacıyla uygun olmayan sonuçların sebebini bulmak için; HACCP ilkelerine dayalı prosedürlerin veya diğer iyi hijyen uygulamalarının geliştirilmesini içeren tedbirleri alır.</w:t>
      </w:r>
    </w:p>
    <w:p w14:paraId="17E82176" w14:textId="77777777" w:rsidR="001A305A" w:rsidRDefault="001A305A" w:rsidP="001A305A">
      <w:pPr>
        <w:pStyle w:val="3-normalyaz"/>
        <w:spacing w:line="240" w:lineRule="atLeast"/>
        <w:ind w:firstLine="709"/>
      </w:pPr>
      <w:r>
        <w:rPr>
          <w:sz w:val="20"/>
          <w:szCs w:val="20"/>
        </w:rPr>
        <w:t xml:space="preserve">(3) Ek-1’de yer alan gıda güvenilirliği kriterleri analiz sonuçları uygun değilse, 5996 sayılı Kanunun 22 </w:t>
      </w:r>
      <w:proofErr w:type="spellStart"/>
      <w:r>
        <w:rPr>
          <w:sz w:val="20"/>
          <w:szCs w:val="20"/>
        </w:rPr>
        <w:t>nci</w:t>
      </w:r>
      <w:proofErr w:type="spellEnd"/>
      <w:r>
        <w:rPr>
          <w:sz w:val="20"/>
          <w:szCs w:val="20"/>
        </w:rPr>
        <w:t xml:space="preserve"> maddesi gereği, ürün veya parti toplatılır veya geri çağrılır. Ancak sadece gıdayı üreten gıda işletmecisi tarafından yapılması şartıyla;</w:t>
      </w:r>
    </w:p>
    <w:p w14:paraId="3F5869AF" w14:textId="77777777" w:rsidR="001A305A" w:rsidRDefault="001A305A" w:rsidP="001A305A">
      <w:pPr>
        <w:pStyle w:val="3-normalyaz"/>
        <w:spacing w:line="240" w:lineRule="atLeast"/>
        <w:ind w:firstLine="709"/>
      </w:pPr>
      <w:r>
        <w:rPr>
          <w:sz w:val="20"/>
          <w:szCs w:val="20"/>
        </w:rPr>
        <w:t>a) Piyasaya arz edilen ancak henüz perakende aşamasında olmayan ve gıda güvenilirliği kriterlerini yerine getirmeyen ürünler, söz konusu tehlikeyi ortadan kaldırmak amacıyla ilave işlemlere tabi tutulabilirler.</w:t>
      </w:r>
    </w:p>
    <w:p w14:paraId="3DDB32CB" w14:textId="77777777" w:rsidR="001A305A" w:rsidRDefault="001A305A" w:rsidP="001A305A">
      <w:pPr>
        <w:pStyle w:val="3-normalyaz"/>
        <w:spacing w:line="240" w:lineRule="atLeast"/>
        <w:ind w:firstLine="709"/>
      </w:pPr>
      <w:r>
        <w:rPr>
          <w:sz w:val="20"/>
          <w:szCs w:val="20"/>
        </w:rPr>
        <w:t>b) İnsan veya hayvan sağlığı için bir risk yaratmaması, iyi hijyen uygulamaları ve HACCP ilkelerine dayanan prosedürlerde önceden yer alması ve Bakanlık tarafından izin verilmesi halinde bir parti, başlangıçta belirlenmiş olan amacı dışında başka bir amaç için kullanabilir.</w:t>
      </w:r>
    </w:p>
    <w:p w14:paraId="1D3875E2" w14:textId="77777777" w:rsidR="001A305A" w:rsidRDefault="001A305A" w:rsidP="001A305A">
      <w:pPr>
        <w:pStyle w:val="3-normalyaz"/>
        <w:spacing w:line="240" w:lineRule="atLeast"/>
        <w:ind w:firstLine="709"/>
      </w:pPr>
      <w:r>
        <w:rPr>
          <w:sz w:val="20"/>
          <w:szCs w:val="20"/>
        </w:rPr>
        <w:t>(4) Gıda işletmecisi üretim hijyeni kriterleri uygun değilse, Ek-2’de belirtilen tedbirler alınır.</w:t>
      </w:r>
    </w:p>
    <w:p w14:paraId="1A0F144E" w14:textId="77777777" w:rsidR="001A305A" w:rsidRDefault="001A305A" w:rsidP="001A305A">
      <w:pPr>
        <w:pStyle w:val="3-normalyaz"/>
        <w:spacing w:line="240" w:lineRule="atLeast"/>
        <w:ind w:firstLine="709"/>
      </w:pPr>
      <w:r>
        <w:rPr>
          <w:b/>
          <w:bCs/>
          <w:sz w:val="20"/>
          <w:szCs w:val="20"/>
        </w:rPr>
        <w:t>Etiketleme</w:t>
      </w:r>
    </w:p>
    <w:p w14:paraId="4F8AA676" w14:textId="77777777" w:rsidR="001A305A" w:rsidRDefault="001A305A" w:rsidP="001A305A">
      <w:pPr>
        <w:pStyle w:val="3-normalyaz"/>
        <w:spacing w:line="240" w:lineRule="atLeast"/>
        <w:ind w:firstLine="709"/>
      </w:pPr>
      <w:r>
        <w:rPr>
          <w:b/>
          <w:bCs/>
          <w:sz w:val="20"/>
          <w:szCs w:val="20"/>
        </w:rPr>
        <w:t>MADDE 9 –</w:t>
      </w:r>
      <w:r>
        <w:rPr>
          <w:sz w:val="20"/>
          <w:szCs w:val="20"/>
        </w:rPr>
        <w:t xml:space="preserve"> (1) </w:t>
      </w:r>
      <w:proofErr w:type="spellStart"/>
      <w:r>
        <w:rPr>
          <w:sz w:val="20"/>
          <w:szCs w:val="20"/>
        </w:rPr>
        <w:t>Salmonella</w:t>
      </w:r>
      <w:proofErr w:type="spellEnd"/>
      <w:r>
        <w:rPr>
          <w:sz w:val="20"/>
          <w:szCs w:val="20"/>
        </w:rPr>
        <w:t xml:space="preserve"> için Ek-1 ve Ek-2’deki gerekli şartları yerine getiren, pişirilerek tüketilmek amacıyla üretilen ve piyasaya arz edilen kıyma, hazırlanmış et karışımları ve et ürünlerinde, tüketiciyi bilgilendirmek amacıyla, tüketilmeden önce tamamen pişirilmesi gerektiği konusunda, üretici tarafından açık bir şekilde etiketlenir.</w:t>
      </w:r>
    </w:p>
    <w:p w14:paraId="1520EA91" w14:textId="77777777" w:rsidR="001A305A" w:rsidRDefault="001A305A" w:rsidP="001A305A">
      <w:pPr>
        <w:pStyle w:val="2-ortabaslk"/>
        <w:spacing w:line="240" w:lineRule="atLeast"/>
        <w:ind w:firstLine="709"/>
      </w:pPr>
      <w:r>
        <w:rPr>
          <w:sz w:val="20"/>
          <w:szCs w:val="20"/>
        </w:rPr>
        <w:t>BEŞİNCİ BÖLÜM</w:t>
      </w:r>
    </w:p>
    <w:p w14:paraId="2AD36D28" w14:textId="77777777" w:rsidR="001A305A" w:rsidRDefault="001A305A" w:rsidP="001A305A">
      <w:pPr>
        <w:pStyle w:val="2-ortabaslk"/>
        <w:spacing w:line="240" w:lineRule="atLeast"/>
        <w:ind w:firstLine="709"/>
      </w:pPr>
      <w:r>
        <w:rPr>
          <w:sz w:val="20"/>
          <w:szCs w:val="20"/>
        </w:rPr>
        <w:t>Çeşitli ve Son Hükümler</w:t>
      </w:r>
    </w:p>
    <w:p w14:paraId="0C0F5F04" w14:textId="77777777" w:rsidR="001A305A" w:rsidRDefault="001A305A" w:rsidP="001A305A">
      <w:pPr>
        <w:pStyle w:val="3-normalyaz"/>
        <w:spacing w:line="240" w:lineRule="atLeast"/>
        <w:ind w:firstLine="709"/>
      </w:pPr>
      <w:r>
        <w:rPr>
          <w:b/>
          <w:bCs/>
          <w:sz w:val="20"/>
          <w:szCs w:val="20"/>
        </w:rPr>
        <w:t>İdari yaptırımlar</w:t>
      </w:r>
    </w:p>
    <w:p w14:paraId="44BCDADE" w14:textId="77777777" w:rsidR="001A305A" w:rsidRDefault="001A305A" w:rsidP="001A305A">
      <w:pPr>
        <w:pStyle w:val="3-normalyaz"/>
        <w:spacing w:line="240" w:lineRule="atLeast"/>
        <w:ind w:firstLine="709"/>
      </w:pPr>
      <w:r>
        <w:rPr>
          <w:b/>
          <w:bCs/>
          <w:sz w:val="20"/>
          <w:szCs w:val="20"/>
        </w:rPr>
        <w:t>MADDE 10 –</w:t>
      </w:r>
      <w:r>
        <w:rPr>
          <w:sz w:val="20"/>
          <w:szCs w:val="20"/>
        </w:rPr>
        <w:t xml:space="preserve"> (1) Bu Yönetmeliğe aykırı davrananlar hakkında 5996 sayılı Kanunun ilgili maddelerine göre idari yaptırım uygulanır.</w:t>
      </w:r>
    </w:p>
    <w:p w14:paraId="1C255C41" w14:textId="77777777" w:rsidR="001A305A" w:rsidRDefault="001A305A" w:rsidP="001A305A">
      <w:pPr>
        <w:pStyle w:val="3-normalyaz"/>
        <w:spacing w:line="240" w:lineRule="atLeast"/>
        <w:ind w:firstLine="709"/>
      </w:pPr>
      <w:r>
        <w:rPr>
          <w:b/>
          <w:bCs/>
          <w:sz w:val="20"/>
          <w:szCs w:val="20"/>
        </w:rPr>
        <w:t>Uyum zorunluluğu</w:t>
      </w:r>
    </w:p>
    <w:p w14:paraId="6050E8C7" w14:textId="77777777" w:rsidR="001A305A" w:rsidRDefault="001A305A" w:rsidP="001A305A">
      <w:pPr>
        <w:pStyle w:val="3-normalyaz"/>
        <w:spacing w:line="240" w:lineRule="atLeast"/>
        <w:ind w:firstLine="709"/>
      </w:pPr>
      <w:r>
        <w:rPr>
          <w:b/>
          <w:bCs/>
          <w:sz w:val="20"/>
          <w:szCs w:val="20"/>
        </w:rPr>
        <w:t>GEÇİCİ MADDE 1 –</w:t>
      </w:r>
      <w:r>
        <w:rPr>
          <w:sz w:val="20"/>
          <w:szCs w:val="20"/>
        </w:rPr>
        <w:t xml:space="preserve"> (1) Bu Yönetmeliğin yayımı tarihinden önce faaliyet göstermekte olan gıda işletmecileri, bu Yönetmelikle öngörülen Ek-2 ve Ek-4’te yer alan hükümlere; 31/12/2013 tarihine kadar uymak zorundadır.</w:t>
      </w:r>
    </w:p>
    <w:p w14:paraId="1AFEF8DB" w14:textId="77777777" w:rsidR="001A305A" w:rsidRDefault="001A305A" w:rsidP="001A305A">
      <w:pPr>
        <w:pStyle w:val="3-normalyaz"/>
        <w:spacing w:line="240" w:lineRule="atLeast"/>
        <w:ind w:firstLine="709"/>
      </w:pPr>
      <w:r>
        <w:rPr>
          <w:b/>
          <w:bCs/>
          <w:sz w:val="20"/>
          <w:szCs w:val="20"/>
        </w:rPr>
        <w:t>Yürürlük</w:t>
      </w:r>
    </w:p>
    <w:p w14:paraId="429DA5E0" w14:textId="77777777" w:rsidR="001A305A" w:rsidRDefault="001A305A" w:rsidP="001A305A">
      <w:pPr>
        <w:pStyle w:val="3-normalyaz"/>
        <w:spacing w:line="240" w:lineRule="atLeast"/>
        <w:ind w:firstLine="709"/>
      </w:pPr>
      <w:r>
        <w:rPr>
          <w:b/>
          <w:bCs/>
          <w:sz w:val="20"/>
          <w:szCs w:val="20"/>
        </w:rPr>
        <w:t>MADDE 11 –</w:t>
      </w:r>
      <w:r>
        <w:rPr>
          <w:sz w:val="20"/>
          <w:szCs w:val="20"/>
        </w:rPr>
        <w:t xml:space="preserve"> (1) Bu Yönetmelik yayımı tarihinde yürürlüğe girer.</w:t>
      </w:r>
    </w:p>
    <w:p w14:paraId="34F164AF" w14:textId="77777777" w:rsidR="001A305A" w:rsidRDefault="001A305A" w:rsidP="001A305A">
      <w:pPr>
        <w:pStyle w:val="3-normalyaz"/>
        <w:spacing w:line="240" w:lineRule="atLeast"/>
        <w:ind w:firstLine="709"/>
      </w:pPr>
      <w:r>
        <w:rPr>
          <w:b/>
          <w:bCs/>
          <w:sz w:val="20"/>
          <w:szCs w:val="20"/>
        </w:rPr>
        <w:t>Yürütme</w:t>
      </w:r>
    </w:p>
    <w:p w14:paraId="2BB04D0A" w14:textId="77777777" w:rsidR="001A305A" w:rsidRDefault="001A305A" w:rsidP="001A305A">
      <w:pPr>
        <w:pStyle w:val="3-normalyaz"/>
        <w:spacing w:line="240" w:lineRule="atLeast"/>
        <w:ind w:firstLine="709"/>
      </w:pPr>
      <w:r>
        <w:rPr>
          <w:b/>
          <w:bCs/>
          <w:sz w:val="20"/>
          <w:szCs w:val="20"/>
        </w:rPr>
        <w:t>MADDE 12 –</w:t>
      </w:r>
      <w:r>
        <w:rPr>
          <w:sz w:val="20"/>
          <w:szCs w:val="20"/>
        </w:rPr>
        <w:t xml:space="preserve"> (1) Bu Yönetmelik hükümlerini Gıda, Tarım ve Hayvancılık Bakanı yürütür.</w:t>
      </w:r>
    </w:p>
    <w:p w14:paraId="25884CB4" w14:textId="77777777" w:rsidR="004E3DF1" w:rsidRDefault="004E3DF1"/>
    <w:sectPr w:rsidR="004E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7A"/>
    <w:rsid w:val="001A305A"/>
    <w:rsid w:val="003C057A"/>
    <w:rsid w:val="003F2706"/>
    <w:rsid w:val="004E3DF1"/>
    <w:rsid w:val="00905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C94C"/>
  <w15:chartTrackingRefBased/>
  <w15:docId w15:val="{8C3FE5CA-5F9F-4A9D-915A-A3823B8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A3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A30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1720</Words>
  <Characters>9808</Characters>
  <Application>Microsoft Office Word</Application>
  <DocSecurity>0</DocSecurity>
  <Lines>81</Lines>
  <Paragraphs>23</Paragraphs>
  <ScaleCrop>false</ScaleCrop>
  <Company>SilentAll Team</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2021-02-16T18:05:00Z</dcterms:created>
  <dcterms:modified xsi:type="dcterms:W3CDTF">2021-02-16T18:05:00Z</dcterms:modified>
</cp:coreProperties>
</file>