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BCA1" w14:textId="77777777" w:rsidR="003E4757" w:rsidRDefault="00A40394">
      <w:pPr>
        <w:spacing w:beforeAutospacing="1" w:afterAutospacing="1" w:line="240" w:lineRule="auto"/>
        <w:jc w:val="center"/>
        <w:rPr>
          <w:rFonts w:ascii="Times New Roman" w:eastAsia="Times New Roman" w:hAnsi="Times New Roman" w:cs="Times New Roman"/>
          <w:sz w:val="24"/>
          <w:szCs w:val="24"/>
          <w:lang w:eastAsia="tr-TR"/>
        </w:rPr>
      </w:pPr>
      <w:r>
        <w:rPr>
          <w:rFonts w:eastAsia="Times New Roman" w:cs="Calibri"/>
          <w:b/>
          <w:bCs/>
          <w:lang w:eastAsia="tr-TR"/>
        </w:rPr>
        <w:t>TÜRK GIDA KODEKSİ GIDA İLE TEMAS EDEN MADDE VE MALZEMELER YÖNETMELİĞİ</w:t>
      </w:r>
    </w:p>
    <w:p w14:paraId="689B1971" w14:textId="77777777" w:rsidR="003E4757" w:rsidRDefault="003E4757">
      <w:pPr>
        <w:spacing w:beforeAutospacing="1" w:afterAutospacing="1" w:line="240" w:lineRule="auto"/>
        <w:jc w:val="center"/>
        <w:rPr>
          <w:rFonts w:ascii="Calibri" w:eastAsia="Times New Roman" w:hAnsi="Calibri" w:cs="Calibri"/>
          <w:b/>
          <w:bCs/>
          <w:lang w:eastAsia="tr-TR"/>
        </w:rPr>
      </w:pPr>
    </w:p>
    <w:p w14:paraId="212C03A8" w14:textId="77777777" w:rsidR="003E4757" w:rsidRDefault="00A40394">
      <w:pPr>
        <w:spacing w:beforeAutospacing="1" w:afterAutospacing="1" w:line="240" w:lineRule="auto"/>
        <w:jc w:val="center"/>
        <w:rPr>
          <w:rFonts w:ascii="Times New Roman" w:eastAsia="Times New Roman" w:hAnsi="Times New Roman" w:cs="Times New Roman"/>
          <w:sz w:val="24"/>
          <w:szCs w:val="24"/>
          <w:lang w:eastAsia="tr-TR"/>
        </w:rPr>
      </w:pPr>
      <w:r>
        <w:rPr>
          <w:rFonts w:eastAsia="Times New Roman" w:cs="Calibri"/>
          <w:b/>
          <w:bCs/>
          <w:lang w:eastAsia="tr-TR"/>
        </w:rPr>
        <w:t>BİRİNCİ BÖLÜM</w:t>
      </w:r>
    </w:p>
    <w:p w14:paraId="30950452" w14:textId="77777777" w:rsidR="003E4757" w:rsidRDefault="00A40394">
      <w:pPr>
        <w:spacing w:beforeAutospacing="1" w:afterAutospacing="1" w:line="240" w:lineRule="auto"/>
        <w:jc w:val="center"/>
        <w:rPr>
          <w:rFonts w:ascii="Times New Roman" w:eastAsia="Times New Roman" w:hAnsi="Times New Roman" w:cs="Times New Roman"/>
          <w:sz w:val="24"/>
          <w:szCs w:val="24"/>
          <w:lang w:eastAsia="tr-TR"/>
        </w:rPr>
      </w:pPr>
      <w:r>
        <w:rPr>
          <w:rFonts w:eastAsia="Times New Roman" w:cs="Calibri"/>
          <w:b/>
          <w:bCs/>
          <w:lang w:eastAsia="tr-TR"/>
        </w:rPr>
        <w:t>Amaç, Kapsam, Dayanak ve Tanımlar</w:t>
      </w:r>
    </w:p>
    <w:p w14:paraId="5FD391C8"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Amaç</w:t>
      </w:r>
    </w:p>
    <w:p w14:paraId="528C973F"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 –</w:t>
      </w:r>
      <w:r>
        <w:rPr>
          <w:rFonts w:eastAsia="Times New Roman" w:cs="Calibri"/>
          <w:lang w:eastAsia="tr-TR"/>
        </w:rPr>
        <w:t xml:space="preserve"> (1) Bu Yönetmeliğin amacı, gıda ile doğrudan ya da dolaylı olarak temas eden veya temas etmesi beklenen madde ve malzemelerin; insan sağlığının yüksek seviyede korunmasının sağlanması ve tüketici ihtiyaçlarının karşılanması da dikkate alınarak, üretim, iş</w:t>
      </w:r>
      <w:r>
        <w:rPr>
          <w:rFonts w:eastAsia="Times New Roman" w:cs="Calibri"/>
          <w:lang w:eastAsia="tr-TR"/>
        </w:rPr>
        <w:t>leme ve dağıtımın tüm aşamalarındaki özelliklerini belirlemektir.</w:t>
      </w:r>
    </w:p>
    <w:p w14:paraId="769333CF"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Kapsam</w:t>
      </w:r>
    </w:p>
    <w:p w14:paraId="083789EF"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2 –</w:t>
      </w:r>
      <w:r>
        <w:rPr>
          <w:rFonts w:eastAsia="Times New Roman" w:cs="Calibri"/>
          <w:lang w:eastAsia="tr-TR"/>
        </w:rPr>
        <w:t xml:space="preserve"> (1) Bu Yönetmelik, aktif ve akıllı madde ve malzemeler de dâhil olmak üzere son hali ile;</w:t>
      </w:r>
    </w:p>
    <w:p w14:paraId="55B34182"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Gıda ile temas etmesi amaçlanan,</w:t>
      </w:r>
    </w:p>
    <w:p w14:paraId="58E4EE18"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Gıda ile temas etmekte olan ya da bu amaç iç</w:t>
      </w:r>
      <w:r>
        <w:rPr>
          <w:rFonts w:eastAsia="Times New Roman" w:cs="Calibri"/>
          <w:lang w:eastAsia="tr-TR"/>
        </w:rPr>
        <w:t>in üretilmiş,</w:t>
      </w:r>
    </w:p>
    <w:p w14:paraId="618EEEB3"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Gıda ile temas etmesi muhtemel olan ya da normal veya öngörülen kullanım koşullarında bileşenlerinin gıdaya geçmesi beklenen,</w:t>
      </w:r>
    </w:p>
    <w:p w14:paraId="43683D04"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madde ve malzemeleri kapsar.</w:t>
      </w:r>
    </w:p>
    <w:p w14:paraId="10F9A330"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Bu Yönetmelik hükümleri, bireysel tüketime sunulan suların temas ettiği madde ve</w:t>
      </w:r>
      <w:r>
        <w:rPr>
          <w:rFonts w:eastAsia="Times New Roman" w:cs="Calibri"/>
          <w:lang w:eastAsia="tr-TR"/>
        </w:rPr>
        <w:t xml:space="preserve"> malzemelere de uygulanır.</w:t>
      </w:r>
    </w:p>
    <w:p w14:paraId="53F62F05"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(3) Bu Yönetmelik, peynirleri, hazırlanmış et ürünlerini veya meyveleri muhafaza eden malzemeler gibi kaplama veya muhafaza olarak kullanılan, gıdanın bir bölümünü oluşturan ve gıda ile birlikte tüketilebilen madde ve malzemeleri</w:t>
      </w:r>
      <w:r>
        <w:rPr>
          <w:rFonts w:eastAsia="Times New Roman" w:cs="Calibri"/>
          <w:lang w:eastAsia="tr-TR"/>
        </w:rPr>
        <w:t>, topluma veya bireye su tedarik etmek için projelendirilmiş sabit su sağlama ünitelerini ve antika olarak tedarik edilen madde ve malzemeleri kapsamaz.</w:t>
      </w:r>
    </w:p>
    <w:p w14:paraId="2676B0B4"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Dayanak</w:t>
      </w:r>
    </w:p>
    <w:p w14:paraId="3265B3B8"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3 –</w:t>
      </w:r>
      <w:r>
        <w:rPr>
          <w:rFonts w:eastAsia="Times New Roman" w:cs="Calibri"/>
          <w:lang w:eastAsia="tr-TR"/>
        </w:rPr>
        <w:t xml:space="preserve"> (1) Bu Yönetmelik,</w:t>
      </w:r>
    </w:p>
    <w:p w14:paraId="02AC7AE1"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11/6/2010 tarihli ve 5996 sayılı Veteriner Hizmetleri, Bitki Sa</w:t>
      </w:r>
      <w:r>
        <w:rPr>
          <w:rFonts w:eastAsia="Times New Roman" w:cs="Calibri"/>
          <w:lang w:eastAsia="tr-TR"/>
        </w:rPr>
        <w:t>ğlığı, Gıda ve Yem Kanununun 23 ve 24 üncü maddelerine dayanılarak,</w:t>
      </w:r>
    </w:p>
    <w:p w14:paraId="2DF2C5D5"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1935/2004/EC sayılı Gıda ile Temas Eden Madde ve Malzemeler Hakkında Avrupa Parlamentosu ve Konseyi Tüzüğüne paralel olarak,</w:t>
      </w:r>
    </w:p>
    <w:p w14:paraId="559C49C8"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hazırlanmıştır.</w:t>
      </w:r>
    </w:p>
    <w:p w14:paraId="67C7607C"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Tanımlar</w:t>
      </w:r>
    </w:p>
    <w:p w14:paraId="66CD654A"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lastRenderedPageBreak/>
        <w:t>MADDE 4 –</w:t>
      </w:r>
      <w:r>
        <w:rPr>
          <w:rFonts w:eastAsia="Times New Roman" w:cs="Calibri"/>
          <w:lang w:eastAsia="tr-TR"/>
        </w:rPr>
        <w:t xml:space="preserve"> (1) 5996 sayılı Kanunun 3</w:t>
      </w:r>
      <w:r>
        <w:rPr>
          <w:rFonts w:eastAsia="Times New Roman" w:cs="Calibri"/>
          <w:lang w:eastAsia="tr-TR"/>
        </w:rPr>
        <w:t xml:space="preserve"> üncü maddesinde yer alan tanımlar, “izlenebilirlik” ve “piyasaya arz” tanımları hariç olmak üzere, bu Yönetmelik için de geçerlidir.</w:t>
      </w:r>
    </w:p>
    <w:p w14:paraId="70B3A577"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Bu Yönetmelikte geçen;</w:t>
      </w:r>
    </w:p>
    <w:p w14:paraId="36DFC16A"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Akıllı madde ve malzeme: Gıda ile temas eden akıllı madde ve malzemeyi,</w:t>
      </w:r>
    </w:p>
    <w:p w14:paraId="410BCAA9"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Aktif madde ve ma</w:t>
      </w:r>
      <w:r>
        <w:rPr>
          <w:rFonts w:eastAsia="Times New Roman" w:cs="Calibri"/>
          <w:lang w:eastAsia="tr-TR"/>
        </w:rPr>
        <w:t>lzeme: Gıda ile temas eden aktif madde ve malzemeyi,</w:t>
      </w:r>
    </w:p>
    <w:p w14:paraId="7C6A9659"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Bakanlık: Gıda, Tarım ve Hayvancılık Bakanlığını,</w:t>
      </w:r>
    </w:p>
    <w:p w14:paraId="2016D62F"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ç) Gıda ile temas eden akıllı madde ve malzemeler: Ambalajlı gıdanın veya gıdanın içinde bulunduğu ortamın durumunu gösteren madde ve malzemeleri,</w:t>
      </w:r>
    </w:p>
    <w:p w14:paraId="27239AAC"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d) Gıda ile temas eden aktif madde ve malzemeler: Bileşenlerini gıdaya ya da gıdanın bulunduğu ortama bırakacak ya da ambalajlı gıdadan veya gıdanın bulunduğu ortamdan maddeleri absorbe edecek şekilde tasarlanan, ambalajlı gıdanın raf ömrünü uzatması veya </w:t>
      </w:r>
      <w:r>
        <w:rPr>
          <w:rFonts w:eastAsia="Times New Roman" w:cs="Calibri"/>
          <w:lang w:eastAsia="tr-TR"/>
        </w:rPr>
        <w:t>mevcut durumunu koruması ya da iyileştirmesi beklenen madde ve malzemeleri,</w:t>
      </w:r>
    </w:p>
    <w:p w14:paraId="1BF18AE8"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e) İşletme: Kâr amaçlı olsun ya da olmasın, madde ve malzemelerin üretimi, işlenmesi ve dağıtımının herhangi bir aşamasında; kamu, gerçek veya tüzel kişi tarafından yürütülen her t</w:t>
      </w:r>
      <w:r>
        <w:rPr>
          <w:rFonts w:eastAsia="Times New Roman" w:cs="Calibri"/>
          <w:lang w:eastAsia="tr-TR"/>
        </w:rPr>
        <w:t>ürlü faaliyeti,</w:t>
      </w:r>
    </w:p>
    <w:p w14:paraId="1C6AB8A1"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f) İşletmeci: Kontrolü altındaki işletmede, bu Yönetmelikte yer alan gerekliliklerin yerine getirilmesini sağlamaktan sorumlu olan gerçek ya da tüzel kişiyi,</w:t>
      </w:r>
    </w:p>
    <w:p w14:paraId="4539C3DE"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g) İzlenebilirlik: Bu Yönetmelik kapsamında yer alan ürünlerin üretim, işleme ve d</w:t>
      </w:r>
      <w:r>
        <w:rPr>
          <w:rFonts w:eastAsia="Times New Roman" w:cs="Calibri"/>
          <w:lang w:eastAsia="tr-TR"/>
        </w:rPr>
        <w:t>ağıtımın tüm aşamalarında madde veya malzemeyi izleyebilme ve takip edebilmeyi,</w:t>
      </w:r>
    </w:p>
    <w:p w14:paraId="541BEB25"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ğ) Piyasaya arz: Bedelli veya bedelsiz olarak madde ve malzemelerin satışa sunma veya her türlü nakliyesini de kapsayacak şekilde; satış amacıyla bulundurulmasını, satışını, da</w:t>
      </w:r>
      <w:r>
        <w:rPr>
          <w:rFonts w:eastAsia="Times New Roman" w:cs="Calibri"/>
          <w:lang w:eastAsia="tr-TR"/>
        </w:rPr>
        <w:t>ğıtımını ve her türlü nakliyesini,</w:t>
      </w:r>
    </w:p>
    <w:p w14:paraId="4E18DFEE"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ifade eder.</w:t>
      </w:r>
    </w:p>
    <w:p w14:paraId="2B53801C"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 </w:t>
      </w:r>
    </w:p>
    <w:p w14:paraId="3D66730F"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İKİNCİ BÖLÜM</w:t>
      </w:r>
    </w:p>
    <w:p w14:paraId="1E58EBD4"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Genel Kurallar, Aktif ve Akıllı Madde ve Malzemeler İçin Özel Kurallar,</w:t>
      </w:r>
    </w:p>
    <w:p w14:paraId="545BF4A3"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Madde ve Malzeme Grupları İçin Özel Kurallar ve Etiketleme</w:t>
      </w:r>
    </w:p>
    <w:p w14:paraId="66C4FC23"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Genel kurallar</w:t>
      </w:r>
    </w:p>
    <w:p w14:paraId="2E09AC46"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5 –</w:t>
      </w:r>
      <w:r>
        <w:rPr>
          <w:rFonts w:eastAsia="Times New Roman" w:cs="Calibri"/>
          <w:lang w:eastAsia="tr-TR"/>
        </w:rPr>
        <w:t xml:space="preserve"> (1) Bu Yönetmelik kapsamında yer alan </w:t>
      </w:r>
      <w:r>
        <w:rPr>
          <w:rFonts w:eastAsia="Times New Roman" w:cs="Calibri"/>
          <w:lang w:eastAsia="tr-TR"/>
        </w:rPr>
        <w:t>madde ve malzemeler iyi üretim uygulamalarına uygun olarak üretilir ve normal veya beklenen kullanım koşullarında madde ve malzemeyi oluşturan bileşenlerden gıdaya;</w:t>
      </w:r>
    </w:p>
    <w:p w14:paraId="4422BFF0"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İnsan sağlığını tehlikeye sokacak veya</w:t>
      </w:r>
    </w:p>
    <w:p w14:paraId="042A311C"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lastRenderedPageBreak/>
        <w:t xml:space="preserve">b) Gıdanın bileşiminde istenmeyen </w:t>
      </w:r>
      <w:r>
        <w:rPr>
          <w:rFonts w:eastAsia="Times New Roman" w:cs="Calibri"/>
          <w:lang w:eastAsia="tr-TR"/>
        </w:rPr>
        <w:t>değişimlere neden olacak veya</w:t>
      </w:r>
    </w:p>
    <w:p w14:paraId="61AAA742"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Duyusal özelliklerinde değişikliğe neden olacak</w:t>
      </w:r>
    </w:p>
    <w:p w14:paraId="6ADF6FA2"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miktarda geçiş olamaz.</w:t>
      </w:r>
    </w:p>
    <w:p w14:paraId="18CA7FD5"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Bu Yönetmelik kapsamında yer alan ürünlerin etiketi, reklamı ya da tanıtımı tüketiciyi yanıltıcı olamaz.</w:t>
      </w:r>
    </w:p>
    <w:p w14:paraId="2B96CA19"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Aktif ve akıllı madde ve malzemeler için öz</w:t>
      </w:r>
      <w:r>
        <w:rPr>
          <w:rFonts w:eastAsia="Times New Roman" w:cs="Calibri"/>
          <w:b/>
          <w:bCs/>
          <w:lang w:eastAsia="tr-TR"/>
        </w:rPr>
        <w:t>el kurallar</w:t>
      </w:r>
    </w:p>
    <w:p w14:paraId="52D3F201"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6 –</w:t>
      </w:r>
      <w:r>
        <w:rPr>
          <w:rFonts w:eastAsia="Times New Roman" w:cs="Calibri"/>
          <w:lang w:eastAsia="tr-TR"/>
        </w:rPr>
        <w:t xml:space="preserve"> (1) 5 inci maddenin birinci fıkrasının (b) ve (c) bentlerinde yer alan hükümlerin uygulanmasında, aktif madde ve malzemeler, gıdanın bileşiminde ya da duyusal özelliklerinde değişime neden olabilir. Ancak bu değişimler Türk Gıda Kodek</w:t>
      </w:r>
      <w:r>
        <w:rPr>
          <w:rFonts w:eastAsia="Times New Roman" w:cs="Calibri"/>
          <w:lang w:eastAsia="tr-TR"/>
        </w:rPr>
        <w:t>si Gıda Katkı Maddeleri Yönetmeliği ve ilgili diğer gıda mevzuatı hükümlerine uygun olur.</w:t>
      </w:r>
    </w:p>
    <w:p w14:paraId="27F7F0CC"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Aktif ve akıllı madde ve malzemeler ile ilgili olarak özel kurallar belirleninceye kadar, gıdaya ya da gıdanın bulunduğu ortama geçecek olan ve aktif ve akıllı ma</w:t>
      </w:r>
      <w:r>
        <w:rPr>
          <w:rFonts w:eastAsia="Times New Roman" w:cs="Calibri"/>
          <w:lang w:eastAsia="tr-TR"/>
        </w:rPr>
        <w:t>lzemelere bilinçli olarak eklenmiş maddelerin kullanımına, gıda mevzuatı çerçevesinde izin verilir. Bu maddeler Türk Gıda Kodeksi Etiketleme Yönetmeliğinde yer alan bileşen tanımı kapsamında değerlendirilir.</w:t>
      </w:r>
    </w:p>
    <w:p w14:paraId="6DDD932E"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(3) Aktif madde ve malzemeler, gıdanın bileşimin</w:t>
      </w:r>
      <w:r>
        <w:rPr>
          <w:rFonts w:eastAsia="Times New Roman" w:cs="Calibri"/>
          <w:lang w:eastAsia="tr-TR"/>
        </w:rPr>
        <w:t>de veya duyusal özelliklerinde, bozulmuş gıdayı maskelemek gibi tüketiciyi yanıltabilecek değişimlere neden olamaz.</w:t>
      </w:r>
    </w:p>
    <w:p w14:paraId="68643A14"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(4) Akıllı madde ve malzemeler, gıdanın durumuna ilişkin olarak tüketiciyi yanıltabilecek bilgi veremez.</w:t>
      </w:r>
    </w:p>
    <w:p w14:paraId="68150088"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(5) Gıda ile temas etmekte olan akt</w:t>
      </w:r>
      <w:r>
        <w:rPr>
          <w:rFonts w:eastAsia="Times New Roman" w:cs="Calibri"/>
          <w:lang w:eastAsia="tr-TR"/>
        </w:rPr>
        <w:t>if ve akıllı madde ve malzemelerin tüketilmemesi gereken kısımları, tüketicilerin bu kısımları ayırt edebilmesine imkân verecek şekilde etiketlenir.</w:t>
      </w:r>
    </w:p>
    <w:p w14:paraId="08C2577F"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(6) Aktif ve akıllı madde ve malzemeler, aktif ve/veya akıllı olduklarını belirtecek şekilde etiketlenir.</w:t>
      </w:r>
    </w:p>
    <w:p w14:paraId="22A360CE"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w:t>
      </w:r>
      <w:r>
        <w:rPr>
          <w:rFonts w:eastAsia="Times New Roman" w:cs="Calibri"/>
          <w:b/>
          <w:bCs/>
          <w:lang w:eastAsia="tr-TR"/>
        </w:rPr>
        <w:t>adde ve malzeme grupları için özel kurallar</w:t>
      </w:r>
    </w:p>
    <w:p w14:paraId="70C5851E"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7 –</w:t>
      </w:r>
      <w:r>
        <w:rPr>
          <w:rFonts w:eastAsia="Times New Roman" w:cs="Calibri"/>
          <w:lang w:eastAsia="tr-TR"/>
        </w:rPr>
        <w:t xml:space="preserve"> (1) Gıda ile temas eden madde ve malzeme grupları veya uygun olması halinde bunların kombinasyonları veya bunların üretiminde kullanılacak geri dönüştürülmüş madde ve malzemelere ilişkin hususlar Bakanl</w:t>
      </w:r>
      <w:r>
        <w:rPr>
          <w:rFonts w:eastAsia="Times New Roman" w:cs="Calibri"/>
          <w:lang w:eastAsia="tr-TR"/>
        </w:rPr>
        <w:t>ıkça düzenlenir.</w:t>
      </w:r>
    </w:p>
    <w:p w14:paraId="6490B846"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Etiketleme</w:t>
      </w:r>
    </w:p>
    <w:p w14:paraId="1EFA3052"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8 –</w:t>
      </w:r>
      <w:r>
        <w:rPr>
          <w:rFonts w:eastAsia="Times New Roman" w:cs="Calibri"/>
          <w:lang w:eastAsia="tr-TR"/>
        </w:rPr>
        <w:t xml:space="preserve"> (1) Bu Yönetmelik kapsamında yer alan madde ve malzemelerin etiketlenmesinde uyulması gereken kurallar aşağıda belirtilmiştir;</w:t>
      </w:r>
    </w:p>
    <w:p w14:paraId="7F1C79ED"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İlgili mevzuatta yer alan kurallar saklı kalmak koşuluyla, henüz gıda ile temas etmemiş madde ve malzemeler piyasaya arz edil</w:t>
      </w:r>
      <w:r>
        <w:rPr>
          <w:rFonts w:eastAsia="Times New Roman" w:cs="Calibri"/>
          <w:lang w:eastAsia="tr-TR"/>
        </w:rPr>
        <w:t>diğinde beraberlerinde;</w:t>
      </w:r>
    </w:p>
    <w:p w14:paraId="027E6586"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1) “Gıda ile temasa uygundur” ifadesinin veya “çorba kaşığı”, “şarap şişesi”  ya da “kahve makinesi için” gibi madde ve/veya malzemenin kullanımına özgü ifadelerin veya EK-1’de yer alan sembol,</w:t>
      </w:r>
    </w:p>
    <w:p w14:paraId="460972DD"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Gerektiğinde, güvenilir ve uygun ku</w:t>
      </w:r>
      <w:r>
        <w:rPr>
          <w:rFonts w:eastAsia="Times New Roman" w:cs="Calibri"/>
          <w:lang w:eastAsia="tr-TR"/>
        </w:rPr>
        <w:t>llanım için özel talimatlar,</w:t>
      </w:r>
    </w:p>
    <w:p w14:paraId="73885011"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3) Üreticinin, ithalatçının, işleyenin veya piyasaya arzdan sorumlu olan satıcının adının veya ticari unvanı ve adresi,</w:t>
      </w:r>
    </w:p>
    <w:p w14:paraId="4F748D77"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4) Madde veya malzemenin izlenebilirliğinin, 10 uncu maddede belirtilen şekilde sağlanabilmesi için uygun e</w:t>
      </w:r>
      <w:r>
        <w:rPr>
          <w:rFonts w:eastAsia="Times New Roman" w:cs="Calibri"/>
          <w:lang w:eastAsia="tr-TR"/>
        </w:rPr>
        <w:t>tiketleme veya tanımlama,</w:t>
      </w:r>
    </w:p>
    <w:p w14:paraId="456400A5"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5) Aktif madde ve malzemeler söz konusu olduğunda, bu madde ve malzemeleri kullanan gıda işletmecisinin, bunları ilgili tüm mevzuata uyumlu olarak kullanabilmesini sağlayacak şekilde, madde ve malzemelerin izin verilen kullanımlar</w:t>
      </w:r>
      <w:r>
        <w:rPr>
          <w:rFonts w:eastAsia="Times New Roman" w:cs="Calibri"/>
          <w:lang w:eastAsia="tr-TR"/>
        </w:rPr>
        <w:t xml:space="preserve">ının ve aktif bileşen tarafından açığa çıkarılacak maddelerin ismi ve miktarı gibi diğer gerekli bilgiler, </w:t>
      </w:r>
    </w:p>
    <w:p w14:paraId="2879A1CB"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6) </w:t>
      </w:r>
      <w:r>
        <w:rPr>
          <w:rFonts w:eastAsia="Times New Roman" w:cs="Calibri"/>
          <w:b/>
          <w:bCs/>
          <w:lang w:eastAsia="tr-TR"/>
        </w:rPr>
        <w:t xml:space="preserve">(Ek:RG-3/8/2012-28373) </w:t>
      </w:r>
      <w:r>
        <w:rPr>
          <w:rFonts w:eastAsia="Times New Roman" w:cs="Calibri"/>
          <w:lang w:eastAsia="tr-TR"/>
        </w:rPr>
        <w:t>Gıda ile Temas Eden Madde ve Malzeme Üreten İşletmelerin Kayıt İşlemleri ile İyi Üretim Uygulamalarına Dair Yönetmeliğe gö</w:t>
      </w:r>
      <w:r>
        <w:rPr>
          <w:rFonts w:eastAsia="Times New Roman" w:cs="Calibri"/>
          <w:lang w:eastAsia="tr-TR"/>
        </w:rPr>
        <w:t xml:space="preserve">re alınan işletme kayıt numarası, </w:t>
      </w:r>
    </w:p>
    <w:p w14:paraId="5D40B925"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bulundurulur.</w:t>
      </w:r>
    </w:p>
    <w:p w14:paraId="170B9676"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Gıda ile temas etmek üzere kullanılacağı açık olan madde ve malzemeler için (a) bendinin (1) numaralı alt bendinde yer alan bilgilerin belirtilmesi zorunlu değildir.</w:t>
      </w:r>
    </w:p>
    <w:p w14:paraId="3297F46D"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(a) bendinde yer alan bilgiler; bel</w:t>
      </w:r>
      <w:r>
        <w:rPr>
          <w:rFonts w:eastAsia="Times New Roman" w:cs="Calibri"/>
          <w:lang w:eastAsia="tr-TR"/>
        </w:rPr>
        <w:t>irgin, silinmez ve açıkça okunabilecek şekilde olur.</w:t>
      </w:r>
    </w:p>
    <w:p w14:paraId="0A88BEFC"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ç) (a) bendinin (1), (2) ve (5) numaralı alt bentlerinde yer alan bilgilerin, Türkçe dışında bir dilde olması durumunda madde ve malzemelerin perakende ticareti yasaklanır.</w:t>
      </w:r>
    </w:p>
    <w:p w14:paraId="3B1384AA"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d) Madde veya malzemelerin üze</w:t>
      </w:r>
      <w:r>
        <w:rPr>
          <w:rFonts w:eastAsia="Times New Roman" w:cs="Calibri"/>
          <w:lang w:eastAsia="tr-TR"/>
        </w:rPr>
        <w:t>rindeki bilgiler Türkçenin yanı sıra diğer resmi dillerde de verilebilir.</w:t>
      </w:r>
    </w:p>
    <w:p w14:paraId="76D553A8"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e) Perakende aşamasında (a) bendinde yer alan bilgiler;</w:t>
      </w:r>
    </w:p>
    <w:p w14:paraId="70F7556E"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1) Madde veya malzemelerin üzerinde veya ambalajı üzerinde,</w:t>
      </w:r>
    </w:p>
    <w:p w14:paraId="5B955179"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Madde ve malzemeye ya da bunların ambalajına yapıştırılmış etik</w:t>
      </w:r>
      <w:r>
        <w:rPr>
          <w:rFonts w:eastAsia="Times New Roman" w:cs="Calibri"/>
          <w:lang w:eastAsia="tr-TR"/>
        </w:rPr>
        <w:t>et olarak,</w:t>
      </w:r>
    </w:p>
    <w:p w14:paraId="0A637A2F"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3) Teknik sebeplerden dolayı üretim ya da pazarlama aşamalarında etiketleme ya da baskı yapılamadığı durumlarda (a) bendinin (3) numaralı alt bendinde yer alan bilgilerin alıcının kolayca görebileceği şekilde madde veya malzemenin satışa sunuldu</w:t>
      </w:r>
      <w:r>
        <w:rPr>
          <w:rFonts w:eastAsia="Times New Roman" w:cs="Calibri"/>
          <w:lang w:eastAsia="tr-TR"/>
        </w:rPr>
        <w:t>ğu yerde bir not olarak,</w:t>
      </w:r>
    </w:p>
    <w:p w14:paraId="25530DC8"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bulunur.</w:t>
      </w:r>
    </w:p>
    <w:p w14:paraId="7E4467AD"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f) Perakende dışındaki pazarlama aşamalarında (a) bendinde yer alan bilgiler;</w:t>
      </w:r>
    </w:p>
    <w:p w14:paraId="214A56A1"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1) Madde veya malzemenin beraberindeki dokümanlarla,</w:t>
      </w:r>
    </w:p>
    <w:p w14:paraId="3BEA1EDA"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Etiketi ya da ambalajı üzerinde,</w:t>
      </w:r>
    </w:p>
    <w:p w14:paraId="1FAE6C29"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3) Madde ve malzemelerin üzerinde,</w:t>
      </w:r>
    </w:p>
    <w:p w14:paraId="01782801"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bulunur.</w:t>
      </w:r>
    </w:p>
    <w:p w14:paraId="79A3704C"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g) (a) bend</w:t>
      </w:r>
      <w:r>
        <w:rPr>
          <w:rFonts w:eastAsia="Times New Roman" w:cs="Calibri"/>
          <w:lang w:eastAsia="tr-TR"/>
        </w:rPr>
        <w:t>inin (1), (2) ve (5) numaralı alt bentleri gereği belirtilmesi gereken bilgiler sadece;</w:t>
      </w:r>
    </w:p>
    <w:p w14:paraId="0E180DD2"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1) 5 inci maddede ve uygulanabilir olduğunda 6 ncı maddede yer alan kurallara,</w:t>
      </w:r>
    </w:p>
    <w:p w14:paraId="4BD6FA32"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2) 7 nci maddeye göre belirlenen özel kuralları içeren mevzuata veya eğer varsa, söz </w:t>
      </w:r>
      <w:r>
        <w:rPr>
          <w:rFonts w:eastAsia="Times New Roman" w:cs="Calibri"/>
          <w:lang w:eastAsia="tr-TR"/>
        </w:rPr>
        <w:t>konusu madde ve malzemelere uygulanabilecek diğer mevzuata</w:t>
      </w:r>
    </w:p>
    <w:p w14:paraId="11491FE4"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uygun madde ve malzemeler için kullanılır. </w:t>
      </w:r>
    </w:p>
    <w:p w14:paraId="3D592B7F"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ğ) </w:t>
      </w:r>
      <w:r>
        <w:rPr>
          <w:rFonts w:eastAsia="Times New Roman" w:cs="Calibri"/>
          <w:b/>
          <w:bCs/>
          <w:lang w:eastAsia="tr-TR"/>
        </w:rPr>
        <w:t xml:space="preserve">(Ek:RG-3/8/2012-28373) (Değişik:RG-16/8/2014-29090) </w:t>
      </w:r>
      <w:r>
        <w:rPr>
          <w:rFonts w:eastAsia="Times New Roman" w:cs="Calibri"/>
          <w:lang w:eastAsia="tr-TR"/>
        </w:rPr>
        <w:t xml:space="preserve">Bu maddenin birinci fıkrasının (a) bendinin (6) numaralı alt bendine göre belirtilmesi </w:t>
      </w:r>
      <w:r>
        <w:rPr>
          <w:rFonts w:eastAsia="Times New Roman" w:cs="Calibri"/>
          <w:lang w:eastAsia="tr-TR"/>
        </w:rPr>
        <w:t>gereken işletme kayıt numarası;</w:t>
      </w:r>
    </w:p>
    <w:p w14:paraId="20E66D6C"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1) ‘işletme kayıt no: …’ ifadesi kullanılarak belirtilir.</w:t>
      </w:r>
    </w:p>
    <w:p w14:paraId="43008A3F"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2) Kayıt işlemine tabi olan işletmenin birden fazla işletmesi var ise; üretimin veya ambalajlamanın yapıldığı işletmenin kayıt numarası açık bir şekilde işaretlenmek </w:t>
      </w:r>
      <w:r>
        <w:rPr>
          <w:rFonts w:eastAsia="Times New Roman" w:cs="Calibri"/>
          <w:lang w:eastAsia="tr-TR"/>
        </w:rPr>
        <w:t>şartıyla diğer işletmelere ait kayıt numaraları da etikette yer alabilir.</w:t>
      </w:r>
    </w:p>
    <w:p w14:paraId="06C46DB4"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3) İşaretlemenin yapılamadığı durumlarda, gıda ile temas eden madde ve malzemenin üretildiği işletmenin işletme kayıt numarasıyla birlikte uygun bir kodlama sistemi kullanılabilir.</w:t>
      </w:r>
    </w:p>
    <w:p w14:paraId="38B14B90"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4</w:t>
      </w:r>
      <w:r>
        <w:rPr>
          <w:rFonts w:eastAsia="Times New Roman" w:cs="Calibri"/>
          <w:lang w:eastAsia="tr-TR"/>
        </w:rPr>
        <w:t xml:space="preserve">) İşletme kayıt numarası için etiket üzerinde başka bir yere ‘İşletme Kayıt No (İKN):…’ şeklinde atıfta bulunuluyorsa atıf yapılan yerde ‘İKN:…’ kısaltması kullanılarak işletme kayıt numarası bildirilir. </w:t>
      </w:r>
    </w:p>
    <w:p w14:paraId="04AC9D7F"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 </w:t>
      </w:r>
    </w:p>
    <w:p w14:paraId="6D22BDDE"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ÜÇÜNCÜ BÖLÜM</w:t>
      </w:r>
    </w:p>
    <w:p w14:paraId="68DAD858"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Uygunluk Beyanı, İzlenebilirlik, Kor</w:t>
      </w:r>
      <w:r>
        <w:rPr>
          <w:rFonts w:eastAsia="Times New Roman" w:cs="Calibri"/>
          <w:b/>
          <w:bCs/>
          <w:lang w:eastAsia="tr-TR"/>
        </w:rPr>
        <w:t>uma Tedbirleri,</w:t>
      </w:r>
    </w:p>
    <w:p w14:paraId="2EAA9AFC"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Numune Alma ve Analiz Metotları</w:t>
      </w:r>
    </w:p>
    <w:p w14:paraId="6208886A"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Uygunluk beyanı</w:t>
      </w:r>
    </w:p>
    <w:p w14:paraId="7C6646A9"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9 –</w:t>
      </w:r>
      <w:r>
        <w:rPr>
          <w:rFonts w:eastAsia="Times New Roman" w:cs="Calibri"/>
          <w:lang w:eastAsia="tr-TR"/>
        </w:rPr>
        <w:t xml:space="preserve"> (1) Bu Yönetmelik kapsamında yer alan ve 7 nci maddeye göre belirlenen özel kurallara göre üretilmiş olan madde ve malzemelerle birlikte, madde ve malzemelerin bu kurallara uygun ola</w:t>
      </w:r>
      <w:r>
        <w:rPr>
          <w:rFonts w:eastAsia="Times New Roman" w:cs="Calibri"/>
          <w:lang w:eastAsia="tr-TR"/>
        </w:rPr>
        <w:t>rak üretildiklerini bildiren yazılı beyan bulundurulur ve Bakanlığın talep etmesi halinde, bu uyumu gösteren uygun dokümanlar beyan edilir.</w:t>
      </w:r>
    </w:p>
    <w:p w14:paraId="7AB1C0C5"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İzlenebilirlik</w:t>
      </w:r>
    </w:p>
    <w:p w14:paraId="103D3DAE"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10 –</w:t>
      </w:r>
      <w:r>
        <w:rPr>
          <w:rFonts w:eastAsia="Times New Roman" w:cs="Calibri"/>
          <w:lang w:eastAsia="tr-TR"/>
        </w:rPr>
        <w:t xml:space="preserve"> (1) Kontrolün kolaylaştırılması, kusurlu ürünlerin geri çağırılması, tüketicinin bilgilend</w:t>
      </w:r>
      <w:r>
        <w:rPr>
          <w:rFonts w:eastAsia="Times New Roman" w:cs="Calibri"/>
          <w:lang w:eastAsia="tr-TR"/>
        </w:rPr>
        <w:t>irilmesi ve sorumluluğun belirlenmesi için madde ve malzemelerin üretim, işleme ve dağıtımının tüm aşamalarında izlenebilirlik sağlanır.</w:t>
      </w:r>
    </w:p>
    <w:p w14:paraId="1873F648"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Teknolojik olarak uygulanabilirliği de göz önünde bulundurularak işletmeciler, yürüttükleri faaliyetlerin hangi mad</w:t>
      </w:r>
      <w:r>
        <w:rPr>
          <w:rFonts w:eastAsia="Times New Roman" w:cs="Calibri"/>
          <w:lang w:eastAsia="tr-TR"/>
        </w:rPr>
        <w:t xml:space="preserve">de veya malzemeden hangisine doğru olduğunu tanımlamaya imkân veren ve uygun olduğu durumlarda, üretimde kullanmak üzere tedarik ettikleri ve bu Yönetmelik kapsamında yer alan madde veya ürünlere ilişkin yerinde sistem ve prosedür bulundurur ve Bakanlığın </w:t>
      </w:r>
      <w:r>
        <w:rPr>
          <w:rFonts w:eastAsia="Times New Roman" w:cs="Calibri"/>
          <w:lang w:eastAsia="tr-TR"/>
        </w:rPr>
        <w:t>talep etmesi halinde bu bilgileri beyan eder.</w:t>
      </w:r>
    </w:p>
    <w:p w14:paraId="33BBF93B"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(3) Piyasaya arz edilmiş olan madde ve malzemeler, etiketleme veya ilgili dokümantasyon veya bilgi aracılığıyla izlenebilirliklerini sağlayacak uygun bir sistemle tanımlanabilir şekilde olur.</w:t>
      </w:r>
    </w:p>
    <w:p w14:paraId="4D551470"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Koruma tedbirleri</w:t>
      </w:r>
    </w:p>
    <w:p w14:paraId="53FDFBE1"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11 –</w:t>
      </w:r>
      <w:r>
        <w:rPr>
          <w:rFonts w:eastAsia="Times New Roman" w:cs="Calibri"/>
          <w:lang w:eastAsia="tr-TR"/>
        </w:rPr>
        <w:t xml:space="preserve"> (1) İlgili özel kurallarla uyumlu olarak üretilmiş olsa bile yeni bir bilginin ortaya çıkması halinde veya mevcut bilginin yeniden değerlendirilmesi sonucunda, madde veya malzemenin kullanımının insan sağlığını tehlikeye sokacağına dair ciddi da</w:t>
      </w:r>
      <w:r>
        <w:rPr>
          <w:rFonts w:eastAsia="Times New Roman" w:cs="Calibri"/>
          <w:lang w:eastAsia="tr-TR"/>
        </w:rPr>
        <w:t>yanaklara ulaşılması halinde Kanunun 26 ncı maddesinde yer alan ihtiyati tedbirler uygulanır.</w:t>
      </w:r>
    </w:p>
    <w:p w14:paraId="51B4D5DB"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Numune alma ve analiz metotları</w:t>
      </w:r>
    </w:p>
    <w:p w14:paraId="217D1AB6"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12 –</w:t>
      </w:r>
      <w:r>
        <w:rPr>
          <w:rFonts w:eastAsia="Times New Roman" w:cs="Calibri"/>
          <w:lang w:eastAsia="tr-TR"/>
        </w:rPr>
        <w:t xml:space="preserve"> (1) Bu Yönetmelik kapsamında yer alan madde ve malzemelerden numune alınmasında ve bunların analizlerinde varsa özel me</w:t>
      </w:r>
      <w:r>
        <w:rPr>
          <w:rFonts w:eastAsia="Times New Roman" w:cs="Calibri"/>
          <w:lang w:eastAsia="tr-TR"/>
        </w:rPr>
        <w:t>vzuatında yer alan hükümler, hüküm bulunmaması halinde ise uluslararası kabul görmüş metotlar uygulanır.</w:t>
      </w:r>
    </w:p>
    <w:p w14:paraId="57767E06"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 </w:t>
      </w:r>
    </w:p>
    <w:p w14:paraId="77CD9813"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DÖRDÜNCÜ BÖLÜM</w:t>
      </w:r>
    </w:p>
    <w:p w14:paraId="25500053"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Özel Hükümler</w:t>
      </w:r>
    </w:p>
    <w:p w14:paraId="09292787"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Özel hükümler</w:t>
      </w:r>
    </w:p>
    <w:p w14:paraId="0ADE2270"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13 –</w:t>
      </w:r>
      <w:r>
        <w:rPr>
          <w:rFonts w:eastAsia="Times New Roman" w:cs="Calibri"/>
          <w:lang w:eastAsia="tr-TR"/>
        </w:rPr>
        <w:t xml:space="preserve"> (1) </w:t>
      </w:r>
      <w:r>
        <w:rPr>
          <w:rFonts w:eastAsia="Times New Roman" w:cs="Calibri"/>
          <w:b/>
          <w:bCs/>
          <w:lang w:eastAsia="tr-TR"/>
        </w:rPr>
        <w:t xml:space="preserve">(Değişik:RG-16/8/2014-29090) </w:t>
      </w:r>
      <w:r>
        <w:rPr>
          <w:rFonts w:eastAsia="Times New Roman" w:cs="Calibri"/>
          <w:lang w:eastAsia="tr-TR"/>
        </w:rPr>
        <w:t>Geri dönüştürülmüş plastikler gıda ile temas eden madde ve mal</w:t>
      </w:r>
      <w:r>
        <w:rPr>
          <w:rFonts w:eastAsia="Times New Roman" w:cs="Calibri"/>
          <w:lang w:eastAsia="tr-TR"/>
        </w:rPr>
        <w:t>zeme üretiminde kullanılamaz. Ancak;</w:t>
      </w:r>
    </w:p>
    <w:p w14:paraId="06DBE59A"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Üretim çapakları ve kenar fireleri işletme dışına çıkarılmadan, üretimin bir parçası olarak, iyi üretim uygulamaları çerçevesinde ve bu Yönetmelik ile ilgili diğer mevzuatta yer alan hükümlere uygun olarak üretilmesi</w:t>
      </w:r>
      <w:r>
        <w:rPr>
          <w:rFonts w:eastAsia="Times New Roman" w:cs="Calibri"/>
          <w:lang w:eastAsia="tr-TR"/>
        </w:rPr>
        <w:t xml:space="preserve"> koşuluyla kullanılabilir.</w:t>
      </w:r>
    </w:p>
    <w:p w14:paraId="3D04004A"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Gıda ile temas etmek üzere üretilmiş polietilen terefitalat/PET madde ve malzemelerden, iyi üretim uygulamaları çerçevesinde, kimyasal depolimerizasyon yöntemi ile elde edilen monomerler ve/veya oligomerler ve başlangıç maddel</w:t>
      </w:r>
      <w:r>
        <w:rPr>
          <w:rFonts w:eastAsia="Times New Roman" w:cs="Calibri"/>
          <w:lang w:eastAsia="tr-TR"/>
        </w:rPr>
        <w:t>eri bu Yönetmelik ve ilgili diğer mevzuatta yer alan hükümlere uygun olarak gıda ile temas eden polietilen terefitalat/PET madde ve malzeme üretiminde kullanılabilir.</w:t>
      </w:r>
    </w:p>
    <w:p w14:paraId="5D8BEB53"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(2) Gıdaya doğrudan temas etmekte olan ve piyasaya arzında gıdayı dış </w:t>
      </w:r>
      <w:r>
        <w:rPr>
          <w:rFonts w:eastAsia="Times New Roman" w:cs="Calibri"/>
          <w:lang w:eastAsia="tr-TR"/>
        </w:rPr>
        <w:t>etkenlerden koruyan plastik madde ve malzemeler bir kez kullanılır. Ancak plastik esaslı su damacanaları, yapısı ve şeklinin değiştirilmemesi ve hijyen gerekliliklerinin sağlanması koşuluyla tekrar kullanılabilir.</w:t>
      </w:r>
    </w:p>
    <w:p w14:paraId="5BCFC430"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(3) </w:t>
      </w:r>
      <w:r>
        <w:rPr>
          <w:rFonts w:eastAsia="Times New Roman" w:cs="Calibri"/>
          <w:b/>
          <w:bCs/>
          <w:lang w:eastAsia="tr-TR"/>
        </w:rPr>
        <w:t xml:space="preserve">(Ek:RG-16/8/2014-29090) </w:t>
      </w:r>
      <w:r>
        <w:rPr>
          <w:rFonts w:eastAsia="Times New Roman" w:cs="Calibri"/>
          <w:lang w:eastAsia="tr-TR"/>
        </w:rPr>
        <w:t>Gıda ile temas</w:t>
      </w:r>
      <w:r>
        <w:rPr>
          <w:rFonts w:eastAsia="Times New Roman" w:cs="Calibri"/>
          <w:lang w:eastAsia="tr-TR"/>
        </w:rPr>
        <w:t xml:space="preserve"> eden madde ve malzeme üretiminde domuz kaynaklı ürünler kullanılamaz.</w:t>
      </w:r>
    </w:p>
    <w:p w14:paraId="4CA65B00"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 </w:t>
      </w:r>
    </w:p>
    <w:p w14:paraId="24FDE89E" w14:textId="77777777" w:rsidR="003E4757" w:rsidRDefault="003E4757">
      <w:pPr>
        <w:spacing w:beforeAutospacing="1" w:afterAutospacing="1" w:line="240" w:lineRule="auto"/>
        <w:ind w:firstLine="567"/>
        <w:jc w:val="center"/>
        <w:rPr>
          <w:rFonts w:ascii="Calibri" w:eastAsia="Times New Roman" w:hAnsi="Calibri" w:cs="Calibri"/>
          <w:b/>
          <w:bCs/>
          <w:lang w:eastAsia="tr-TR"/>
        </w:rPr>
      </w:pPr>
    </w:p>
    <w:p w14:paraId="3BD1B22A"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BEŞİNCİ BÖLÜM</w:t>
      </w:r>
    </w:p>
    <w:p w14:paraId="76ACDB02"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Çeşitli ve Son Hükümler</w:t>
      </w:r>
    </w:p>
    <w:p w14:paraId="605ACF30"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İdari yaptırım</w:t>
      </w:r>
    </w:p>
    <w:p w14:paraId="16CB6132"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14 –</w:t>
      </w:r>
      <w:r>
        <w:rPr>
          <w:rFonts w:eastAsia="Times New Roman" w:cs="Calibri"/>
          <w:lang w:eastAsia="tr-TR"/>
        </w:rPr>
        <w:t xml:space="preserve"> (1) Bu Yönetmeliğe aykırı davrananlar hakkında 5996 sayılı Kanunun ilgili maddelerine göre idari yaptırım uygulanır.</w:t>
      </w:r>
    </w:p>
    <w:p w14:paraId="135C7F34"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Geçiş hükmü</w:t>
      </w:r>
    </w:p>
    <w:p w14:paraId="5E889EAB"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15 –</w:t>
      </w:r>
      <w:r>
        <w:rPr>
          <w:rFonts w:eastAsia="Times New Roman" w:cs="Calibri"/>
          <w:lang w:eastAsia="tr-TR"/>
        </w:rPr>
        <w:t xml:space="preserve"> (1) 7 nci maddeye göre hazırlanacak olan mevzuat yürürlüğe girinceye kadar gıda ile temas eden;</w:t>
      </w:r>
    </w:p>
    <w:p w14:paraId="3A3BE97A"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a) Kâğıt esaslı mad</w:t>
      </w:r>
      <w:r>
        <w:rPr>
          <w:rFonts w:eastAsia="Times New Roman" w:cs="Calibri"/>
          <w:lang w:eastAsia="tr-TR"/>
        </w:rPr>
        <w:t>de ve malzemeler EK-2’de,</w:t>
      </w:r>
    </w:p>
    <w:p w14:paraId="2778C19E"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b) Metal esaslı madde ve malzemeler EK-3’te,</w:t>
      </w:r>
    </w:p>
    <w:p w14:paraId="5EA88B23"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c) Cam esaslı madde ve malzemeler EK-4’te,</w:t>
      </w:r>
    </w:p>
    <w:p w14:paraId="02EE9529"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ç) Plastik madde ve malzemelerde kullanılacak boyar maddeler EK-5’te</w:t>
      </w:r>
    </w:p>
    <w:p w14:paraId="15DCF866"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yer alan kurallara uygun şekilde olur. </w:t>
      </w:r>
    </w:p>
    <w:p w14:paraId="593224DE"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 xml:space="preserve">Uyum zorunluluğu </w:t>
      </w:r>
    </w:p>
    <w:p w14:paraId="73BD31E3"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 xml:space="preserve">GEÇİCİ MADDE 1 </w:t>
      </w:r>
      <w:r>
        <w:rPr>
          <w:rFonts w:eastAsia="Times New Roman" w:cs="Calibri"/>
          <w:b/>
          <w:bCs/>
          <w:lang w:eastAsia="tr-TR"/>
        </w:rPr>
        <w:t xml:space="preserve">– (Ek:RG-3/8/2012-28373) </w:t>
      </w:r>
    </w:p>
    <w:p w14:paraId="3C2FB81E"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xml:space="preserve">(1) İşletmeciler, 8 inci maddenin birinci fıkrasının (a) bendinin (6) numaralı alt bendine 31/12/2014 tarihine kadar uyum sağlamak zorundadırlar.  </w:t>
      </w:r>
    </w:p>
    <w:p w14:paraId="0DB72B0C"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(2) İşletmeciler, Ek-3’ün birinci fıkrasının (d) bendine 31/12/2012 tarihine kadar</w:t>
      </w:r>
      <w:r>
        <w:rPr>
          <w:rFonts w:eastAsia="Times New Roman" w:cs="Calibri"/>
          <w:lang w:eastAsia="tr-TR"/>
        </w:rPr>
        <w:t xml:space="preserve"> uyum sağlamak zorundadırlar.</w:t>
      </w:r>
    </w:p>
    <w:p w14:paraId="46FB1E29"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Uyum zorunluluğu</w:t>
      </w:r>
    </w:p>
    <w:p w14:paraId="2AC0EA94"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GEÇİCİ MADDE 2 – (Ek:RG-16/8/2014-29090)</w:t>
      </w:r>
      <w:r>
        <w:rPr>
          <w:rFonts w:eastAsia="Times New Roman" w:cs="Calibri"/>
          <w:lang w:eastAsia="tr-TR"/>
        </w:rPr>
        <w:t xml:space="preserve"> </w:t>
      </w:r>
    </w:p>
    <w:p w14:paraId="45F407E2"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(1) İşletmeciler, Ek-3’ün birinci fıkrasının (g) bendine ve (ı) bendinde yer alan etiketleme kurallarına 30/6/2016 tarihine kadar uyum sağlamak zorundadırlar.</w:t>
      </w:r>
    </w:p>
    <w:p w14:paraId="3DDF33F5"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Yürürlük</w:t>
      </w:r>
    </w:p>
    <w:p w14:paraId="36D90317"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16 –</w:t>
      </w:r>
      <w:r>
        <w:rPr>
          <w:rFonts w:eastAsia="Times New Roman" w:cs="Calibri"/>
          <w:lang w:eastAsia="tr-TR"/>
        </w:rPr>
        <w:t xml:space="preserve"> (1) Bu Yönetmelik yayımı tarihinde yürürlüğe girer.</w:t>
      </w:r>
    </w:p>
    <w:p w14:paraId="3E584EF7"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Yürütme</w:t>
      </w:r>
    </w:p>
    <w:p w14:paraId="5CDA29C1"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b/>
          <w:bCs/>
          <w:lang w:eastAsia="tr-TR"/>
        </w:rPr>
        <w:t>MADDE 17 –</w:t>
      </w:r>
      <w:r>
        <w:rPr>
          <w:rFonts w:eastAsia="Times New Roman" w:cs="Calibri"/>
          <w:lang w:eastAsia="tr-TR"/>
        </w:rPr>
        <w:t xml:space="preserve"> (1) Bu Yönetmelik hükümlerini Gıda, Tarım ve Hayvancılık Bakanı yürütür.</w:t>
      </w:r>
    </w:p>
    <w:p w14:paraId="3880AAA7"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val="en-GB" w:eastAsia="tr-TR"/>
        </w:rPr>
        <w:t> </w:t>
      </w:r>
    </w:p>
    <w:p w14:paraId="3B1FA4D5"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w:t>
      </w:r>
    </w:p>
    <w:tbl>
      <w:tblPr>
        <w:tblW w:w="8947"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1747"/>
        <w:gridCol w:w="3600"/>
        <w:gridCol w:w="3600"/>
      </w:tblGrid>
      <w:tr w:rsidR="003E4757" w14:paraId="2424AE6D" w14:textId="77777777">
        <w:trPr>
          <w:jc w:val="center"/>
        </w:trPr>
        <w:tc>
          <w:tcPr>
            <w:tcW w:w="1747" w:type="dxa"/>
            <w:vMerge w:val="restart"/>
            <w:tcBorders>
              <w:top w:val="single" w:sz="8" w:space="0" w:color="00000A"/>
              <w:left w:val="single" w:sz="8" w:space="0" w:color="00000A"/>
              <w:bottom w:val="single" w:sz="8" w:space="0" w:color="00000A"/>
              <w:right w:val="single" w:sz="8" w:space="0" w:color="00000A"/>
            </w:tcBorders>
            <w:shd w:val="clear" w:color="auto" w:fill="auto"/>
            <w:tcMar>
              <w:left w:w="98" w:type="dxa"/>
            </w:tcMar>
          </w:tcPr>
          <w:p w14:paraId="480342E4" w14:textId="77777777" w:rsidR="003E4757" w:rsidRDefault="00A40394">
            <w:pPr>
              <w:spacing w:beforeAutospacing="1" w:afterAutospacing="1" w:line="240" w:lineRule="auto"/>
              <w:ind w:firstLine="567"/>
              <w:jc w:val="both"/>
              <w:rPr>
                <w:rFonts w:ascii="Times New Roman" w:eastAsia="Times New Roman" w:hAnsi="Times New Roman" w:cs="Times New Roman"/>
                <w:sz w:val="24"/>
                <w:szCs w:val="24"/>
                <w:lang w:eastAsia="tr-TR"/>
              </w:rPr>
            </w:pPr>
            <w:r>
              <w:rPr>
                <w:rFonts w:eastAsia="Times New Roman" w:cs="Calibri"/>
                <w:lang w:eastAsia="tr-TR"/>
              </w:rPr>
              <w:t> </w:t>
            </w:r>
          </w:p>
        </w:tc>
        <w:tc>
          <w:tcPr>
            <w:tcW w:w="7200" w:type="dxa"/>
            <w:gridSpan w:val="2"/>
            <w:tcBorders>
              <w:top w:val="single" w:sz="8" w:space="0" w:color="00000A"/>
              <w:bottom w:val="single" w:sz="8" w:space="0" w:color="00000A"/>
              <w:right w:val="single" w:sz="8" w:space="0" w:color="00000A"/>
            </w:tcBorders>
            <w:shd w:val="clear" w:color="auto" w:fill="auto"/>
            <w:vAlign w:val="center"/>
          </w:tcPr>
          <w:p w14:paraId="4029F18E"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Yönetmeliğin Yayımlandığı Resmî Gazete’nin</w:t>
            </w:r>
          </w:p>
        </w:tc>
      </w:tr>
      <w:tr w:rsidR="003E4757" w14:paraId="209490B0" w14:textId="77777777">
        <w:trPr>
          <w:jc w:val="center"/>
        </w:trPr>
        <w:tc>
          <w:tcPr>
            <w:tcW w:w="1747"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14:paraId="2E445D45" w14:textId="77777777" w:rsidR="003E4757" w:rsidRDefault="003E4757">
            <w:pPr>
              <w:spacing w:after="0" w:line="240" w:lineRule="auto"/>
              <w:rPr>
                <w:rFonts w:ascii="Times New Roman" w:eastAsia="Times New Roman" w:hAnsi="Times New Roman" w:cs="Times New Roman"/>
                <w:sz w:val="24"/>
                <w:szCs w:val="24"/>
                <w:lang w:eastAsia="tr-TR"/>
              </w:rPr>
            </w:pPr>
          </w:p>
        </w:tc>
        <w:tc>
          <w:tcPr>
            <w:tcW w:w="3600" w:type="dxa"/>
            <w:tcBorders>
              <w:bottom w:val="single" w:sz="8" w:space="0" w:color="00000A"/>
              <w:right w:val="single" w:sz="8" w:space="0" w:color="00000A"/>
            </w:tcBorders>
            <w:shd w:val="clear" w:color="auto" w:fill="auto"/>
            <w:vAlign w:val="center"/>
          </w:tcPr>
          <w:p w14:paraId="0FBAF976"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Tarihi</w:t>
            </w:r>
          </w:p>
        </w:tc>
        <w:tc>
          <w:tcPr>
            <w:tcW w:w="3600" w:type="dxa"/>
            <w:tcBorders>
              <w:bottom w:val="single" w:sz="8" w:space="0" w:color="00000A"/>
              <w:right w:val="single" w:sz="8" w:space="0" w:color="00000A"/>
            </w:tcBorders>
            <w:shd w:val="clear" w:color="auto" w:fill="auto"/>
            <w:vAlign w:val="center"/>
          </w:tcPr>
          <w:p w14:paraId="1300CBBB"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Sayısı</w:t>
            </w:r>
          </w:p>
        </w:tc>
      </w:tr>
      <w:tr w:rsidR="003E4757" w14:paraId="73304EEB" w14:textId="77777777">
        <w:trPr>
          <w:jc w:val="center"/>
        </w:trPr>
        <w:tc>
          <w:tcPr>
            <w:tcW w:w="1747"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14:paraId="7E7F7BE9" w14:textId="77777777" w:rsidR="003E4757" w:rsidRDefault="003E4757">
            <w:pPr>
              <w:spacing w:after="0" w:line="240" w:lineRule="auto"/>
              <w:rPr>
                <w:rFonts w:ascii="Times New Roman" w:eastAsia="Times New Roman" w:hAnsi="Times New Roman" w:cs="Times New Roman"/>
                <w:sz w:val="24"/>
                <w:szCs w:val="24"/>
                <w:lang w:eastAsia="tr-TR"/>
              </w:rPr>
            </w:pPr>
          </w:p>
        </w:tc>
        <w:tc>
          <w:tcPr>
            <w:tcW w:w="3600" w:type="dxa"/>
            <w:tcBorders>
              <w:bottom w:val="single" w:sz="8" w:space="0" w:color="00000A"/>
              <w:right w:val="single" w:sz="8" w:space="0" w:color="00000A"/>
            </w:tcBorders>
            <w:shd w:val="clear" w:color="auto" w:fill="auto"/>
            <w:vAlign w:val="center"/>
          </w:tcPr>
          <w:p w14:paraId="7BC1A0E3"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lang w:eastAsia="tr-TR"/>
              </w:rPr>
              <w:t>29/12/2011</w:t>
            </w:r>
          </w:p>
        </w:tc>
        <w:tc>
          <w:tcPr>
            <w:tcW w:w="3600" w:type="dxa"/>
            <w:tcBorders>
              <w:bottom w:val="single" w:sz="8" w:space="0" w:color="00000A"/>
              <w:right w:val="single" w:sz="8" w:space="0" w:color="00000A"/>
            </w:tcBorders>
            <w:shd w:val="clear" w:color="auto" w:fill="auto"/>
            <w:vAlign w:val="center"/>
          </w:tcPr>
          <w:p w14:paraId="4E461F6C"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lang w:eastAsia="tr-TR"/>
              </w:rPr>
              <w:t xml:space="preserve">28157 (3. </w:t>
            </w:r>
            <w:r>
              <w:rPr>
                <w:rFonts w:eastAsia="Times New Roman" w:cs="Calibri"/>
                <w:lang w:eastAsia="tr-TR"/>
              </w:rPr>
              <w:t>mükerrer)</w:t>
            </w:r>
          </w:p>
        </w:tc>
      </w:tr>
      <w:tr w:rsidR="003E4757" w14:paraId="668A77AD" w14:textId="77777777">
        <w:trPr>
          <w:jc w:val="center"/>
        </w:trPr>
        <w:tc>
          <w:tcPr>
            <w:tcW w:w="1747"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14:paraId="1F5081AA" w14:textId="77777777" w:rsidR="003E4757" w:rsidRDefault="003E4757">
            <w:pPr>
              <w:spacing w:after="0" w:line="240" w:lineRule="auto"/>
              <w:rPr>
                <w:rFonts w:ascii="Times New Roman" w:eastAsia="Times New Roman" w:hAnsi="Times New Roman" w:cs="Times New Roman"/>
                <w:sz w:val="24"/>
                <w:szCs w:val="24"/>
                <w:lang w:eastAsia="tr-TR"/>
              </w:rPr>
            </w:pPr>
          </w:p>
        </w:tc>
        <w:tc>
          <w:tcPr>
            <w:tcW w:w="7200" w:type="dxa"/>
            <w:gridSpan w:val="2"/>
            <w:tcBorders>
              <w:bottom w:val="single" w:sz="8" w:space="0" w:color="00000A"/>
              <w:right w:val="single" w:sz="8" w:space="0" w:color="00000A"/>
            </w:tcBorders>
            <w:shd w:val="clear" w:color="auto" w:fill="auto"/>
            <w:vAlign w:val="center"/>
          </w:tcPr>
          <w:p w14:paraId="6E8B06A2"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Yönetmelikte Değişiklik Yapan Yönetmeliklerin Yayımlandığı Resmî Gazetelerin</w:t>
            </w:r>
          </w:p>
        </w:tc>
      </w:tr>
      <w:tr w:rsidR="003E4757" w14:paraId="73CC9372" w14:textId="77777777">
        <w:trPr>
          <w:jc w:val="center"/>
        </w:trPr>
        <w:tc>
          <w:tcPr>
            <w:tcW w:w="1747"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14:paraId="691E0761" w14:textId="77777777" w:rsidR="003E4757" w:rsidRDefault="003E4757">
            <w:pPr>
              <w:spacing w:after="0" w:line="240" w:lineRule="auto"/>
              <w:rPr>
                <w:rFonts w:ascii="Times New Roman" w:eastAsia="Times New Roman" w:hAnsi="Times New Roman" w:cs="Times New Roman"/>
                <w:sz w:val="24"/>
                <w:szCs w:val="24"/>
                <w:lang w:eastAsia="tr-TR"/>
              </w:rPr>
            </w:pPr>
          </w:p>
        </w:tc>
        <w:tc>
          <w:tcPr>
            <w:tcW w:w="3600" w:type="dxa"/>
            <w:tcBorders>
              <w:bottom w:val="single" w:sz="8" w:space="0" w:color="00000A"/>
              <w:right w:val="single" w:sz="8" w:space="0" w:color="00000A"/>
            </w:tcBorders>
            <w:shd w:val="clear" w:color="auto" w:fill="auto"/>
            <w:vAlign w:val="center"/>
          </w:tcPr>
          <w:p w14:paraId="400E04C8"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Tarihi</w:t>
            </w:r>
          </w:p>
        </w:tc>
        <w:tc>
          <w:tcPr>
            <w:tcW w:w="3600" w:type="dxa"/>
            <w:tcBorders>
              <w:bottom w:val="single" w:sz="8" w:space="0" w:color="00000A"/>
              <w:right w:val="single" w:sz="8" w:space="0" w:color="00000A"/>
            </w:tcBorders>
            <w:shd w:val="clear" w:color="auto" w:fill="auto"/>
            <w:vAlign w:val="center"/>
          </w:tcPr>
          <w:p w14:paraId="74DA3FC0"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b/>
                <w:bCs/>
                <w:lang w:eastAsia="tr-TR"/>
              </w:rPr>
              <w:t>Sayısı</w:t>
            </w:r>
          </w:p>
        </w:tc>
      </w:tr>
      <w:tr w:rsidR="003E4757" w14:paraId="7AD960E3" w14:textId="77777777">
        <w:trPr>
          <w:jc w:val="center"/>
        </w:trPr>
        <w:tc>
          <w:tcPr>
            <w:tcW w:w="1747" w:type="dxa"/>
            <w:tcBorders>
              <w:left w:val="single" w:sz="8" w:space="0" w:color="00000A"/>
              <w:bottom w:val="single" w:sz="8" w:space="0" w:color="00000A"/>
              <w:right w:val="single" w:sz="8" w:space="0" w:color="00000A"/>
            </w:tcBorders>
            <w:shd w:val="clear" w:color="auto" w:fill="auto"/>
            <w:tcMar>
              <w:left w:w="98" w:type="dxa"/>
            </w:tcMar>
          </w:tcPr>
          <w:p w14:paraId="0A416F6F" w14:textId="77777777" w:rsidR="003E4757" w:rsidRDefault="00A40394">
            <w:pPr>
              <w:spacing w:beforeAutospacing="1" w:afterAutospacing="1" w:line="240" w:lineRule="auto"/>
              <w:ind w:left="397" w:firstLine="567"/>
              <w:jc w:val="both"/>
              <w:rPr>
                <w:rFonts w:ascii="Times New Roman" w:eastAsia="Times New Roman" w:hAnsi="Times New Roman" w:cs="Times New Roman"/>
                <w:sz w:val="24"/>
                <w:szCs w:val="24"/>
                <w:lang w:eastAsia="tr-TR"/>
              </w:rPr>
            </w:pPr>
            <w:r>
              <w:rPr>
                <w:rFonts w:eastAsia="Times New Roman" w:cs="Calibri"/>
                <w:lang w:eastAsia="tr-TR"/>
              </w:rPr>
              <w:t>1.</w:t>
            </w:r>
            <w:r>
              <w:rPr>
                <w:rFonts w:ascii="Times New Roman" w:eastAsia="Times New Roman" w:hAnsi="Times New Roman" w:cs="Times New Roman"/>
                <w:sz w:val="14"/>
                <w:szCs w:val="14"/>
                <w:lang w:eastAsia="tr-TR"/>
              </w:rPr>
              <w:t xml:space="preserve">          </w:t>
            </w:r>
            <w:r>
              <w:rPr>
                <w:rFonts w:eastAsia="Times New Roman" w:cs="Calibri"/>
                <w:lang w:eastAsia="tr-TR"/>
              </w:rPr>
              <w:t> </w:t>
            </w:r>
          </w:p>
        </w:tc>
        <w:tc>
          <w:tcPr>
            <w:tcW w:w="3600" w:type="dxa"/>
            <w:tcBorders>
              <w:bottom w:val="single" w:sz="8" w:space="0" w:color="00000A"/>
              <w:right w:val="single" w:sz="8" w:space="0" w:color="00000A"/>
            </w:tcBorders>
            <w:shd w:val="clear" w:color="auto" w:fill="auto"/>
            <w:vAlign w:val="center"/>
          </w:tcPr>
          <w:p w14:paraId="0B5CA1E9"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lang w:eastAsia="tr-TR"/>
              </w:rPr>
              <w:t>3/8/2012</w:t>
            </w:r>
          </w:p>
        </w:tc>
        <w:tc>
          <w:tcPr>
            <w:tcW w:w="3600" w:type="dxa"/>
            <w:tcBorders>
              <w:bottom w:val="single" w:sz="8" w:space="0" w:color="00000A"/>
              <w:right w:val="single" w:sz="8" w:space="0" w:color="00000A"/>
            </w:tcBorders>
            <w:shd w:val="clear" w:color="auto" w:fill="auto"/>
            <w:vAlign w:val="center"/>
          </w:tcPr>
          <w:p w14:paraId="7BBC1E0A"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lang w:eastAsia="tr-TR"/>
              </w:rPr>
              <w:t>28373</w:t>
            </w:r>
          </w:p>
        </w:tc>
      </w:tr>
      <w:tr w:rsidR="003E4757" w14:paraId="55A4CE85" w14:textId="77777777">
        <w:trPr>
          <w:jc w:val="center"/>
        </w:trPr>
        <w:tc>
          <w:tcPr>
            <w:tcW w:w="1747" w:type="dxa"/>
            <w:tcBorders>
              <w:left w:val="single" w:sz="8" w:space="0" w:color="00000A"/>
              <w:bottom w:val="single" w:sz="8" w:space="0" w:color="00000A"/>
              <w:right w:val="single" w:sz="8" w:space="0" w:color="00000A"/>
            </w:tcBorders>
            <w:shd w:val="clear" w:color="auto" w:fill="auto"/>
            <w:tcMar>
              <w:left w:w="98" w:type="dxa"/>
            </w:tcMar>
          </w:tcPr>
          <w:p w14:paraId="0066DD07" w14:textId="77777777" w:rsidR="003E4757" w:rsidRDefault="00A40394">
            <w:pPr>
              <w:spacing w:beforeAutospacing="1" w:afterAutospacing="1" w:line="240" w:lineRule="auto"/>
              <w:ind w:left="397" w:firstLine="567"/>
              <w:jc w:val="both"/>
              <w:rPr>
                <w:rFonts w:ascii="Times New Roman" w:eastAsia="Times New Roman" w:hAnsi="Times New Roman" w:cs="Times New Roman"/>
                <w:sz w:val="24"/>
                <w:szCs w:val="24"/>
                <w:lang w:eastAsia="tr-TR"/>
              </w:rPr>
            </w:pPr>
            <w:r>
              <w:rPr>
                <w:rFonts w:eastAsia="Times New Roman" w:cs="Calibri"/>
                <w:lang w:eastAsia="tr-TR"/>
              </w:rPr>
              <w:t>2.</w:t>
            </w:r>
            <w:r>
              <w:rPr>
                <w:rFonts w:ascii="Times New Roman" w:eastAsia="Times New Roman" w:hAnsi="Times New Roman" w:cs="Times New Roman"/>
                <w:sz w:val="14"/>
                <w:szCs w:val="14"/>
                <w:lang w:eastAsia="tr-TR"/>
              </w:rPr>
              <w:t xml:space="preserve">          </w:t>
            </w:r>
            <w:r>
              <w:rPr>
                <w:rFonts w:eastAsia="Times New Roman" w:cs="Calibri"/>
                <w:lang w:eastAsia="tr-TR"/>
              </w:rPr>
              <w:t> </w:t>
            </w:r>
          </w:p>
        </w:tc>
        <w:tc>
          <w:tcPr>
            <w:tcW w:w="3600" w:type="dxa"/>
            <w:tcBorders>
              <w:bottom w:val="single" w:sz="8" w:space="0" w:color="00000A"/>
              <w:right w:val="single" w:sz="8" w:space="0" w:color="00000A"/>
            </w:tcBorders>
            <w:shd w:val="clear" w:color="auto" w:fill="auto"/>
            <w:vAlign w:val="center"/>
          </w:tcPr>
          <w:p w14:paraId="053A1310"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lang w:eastAsia="tr-TR"/>
              </w:rPr>
              <w:t>16/8/2014</w:t>
            </w:r>
          </w:p>
        </w:tc>
        <w:tc>
          <w:tcPr>
            <w:tcW w:w="3600" w:type="dxa"/>
            <w:tcBorders>
              <w:bottom w:val="single" w:sz="8" w:space="0" w:color="00000A"/>
              <w:right w:val="single" w:sz="8" w:space="0" w:color="00000A"/>
            </w:tcBorders>
            <w:shd w:val="clear" w:color="auto" w:fill="auto"/>
            <w:vAlign w:val="center"/>
          </w:tcPr>
          <w:p w14:paraId="1FFA052A" w14:textId="77777777" w:rsidR="003E4757" w:rsidRDefault="00A40394">
            <w:pPr>
              <w:spacing w:beforeAutospacing="1" w:afterAutospacing="1" w:line="240" w:lineRule="auto"/>
              <w:ind w:firstLine="567"/>
              <w:jc w:val="center"/>
              <w:rPr>
                <w:rFonts w:ascii="Times New Roman" w:eastAsia="Times New Roman" w:hAnsi="Times New Roman" w:cs="Times New Roman"/>
                <w:sz w:val="24"/>
                <w:szCs w:val="24"/>
                <w:lang w:eastAsia="tr-TR"/>
              </w:rPr>
            </w:pPr>
            <w:r>
              <w:rPr>
                <w:rFonts w:eastAsia="Times New Roman" w:cs="Calibri"/>
                <w:lang w:eastAsia="tr-TR"/>
              </w:rPr>
              <w:t>29090</w:t>
            </w:r>
          </w:p>
        </w:tc>
      </w:tr>
    </w:tbl>
    <w:p w14:paraId="2E93A90F" w14:textId="77777777" w:rsidR="003E4757" w:rsidRDefault="00A40394">
      <w:pPr>
        <w:spacing w:before="48" w:after="48"/>
        <w:jc w:val="right"/>
        <w:rPr>
          <w:rFonts w:ascii="Calibri" w:hAnsi="Calibri"/>
          <w:b/>
          <w:sz w:val="20"/>
          <w:szCs w:val="20"/>
        </w:rPr>
      </w:pPr>
      <w:r>
        <w:rPr>
          <w:rFonts w:eastAsia="Times New Roman" w:cs="Calibri"/>
          <w:lang w:eastAsia="tr-TR"/>
        </w:rPr>
        <w:t> </w:t>
      </w:r>
      <w:r>
        <w:rPr>
          <w:b/>
          <w:sz w:val="20"/>
          <w:szCs w:val="20"/>
        </w:rPr>
        <w:t>EK-l</w:t>
      </w:r>
    </w:p>
    <w:p w14:paraId="71C9736C" w14:textId="77777777" w:rsidR="003E4757" w:rsidRDefault="003E4757">
      <w:pPr>
        <w:spacing w:before="48" w:after="48"/>
        <w:jc w:val="right"/>
        <w:rPr>
          <w:rFonts w:ascii="Calibri" w:hAnsi="Calibri"/>
          <w:b/>
          <w:sz w:val="20"/>
          <w:szCs w:val="20"/>
        </w:rPr>
      </w:pPr>
    </w:p>
    <w:p w14:paraId="585DE14E" w14:textId="77777777" w:rsidR="003E4757" w:rsidRDefault="003E4757">
      <w:pPr>
        <w:spacing w:before="48" w:after="48"/>
        <w:jc w:val="right"/>
        <w:rPr>
          <w:rFonts w:ascii="Calibri" w:hAnsi="Calibri"/>
          <w:b/>
          <w:sz w:val="20"/>
          <w:szCs w:val="20"/>
        </w:rPr>
      </w:pPr>
    </w:p>
    <w:p w14:paraId="24995CE8" w14:textId="77777777" w:rsidR="003E4757" w:rsidRDefault="003E4757">
      <w:pPr>
        <w:spacing w:before="48" w:after="48"/>
        <w:rPr>
          <w:rFonts w:ascii="Calibri" w:hAnsi="Calibri"/>
          <w:sz w:val="20"/>
          <w:szCs w:val="20"/>
        </w:rPr>
      </w:pPr>
    </w:p>
    <w:p w14:paraId="2A8DF584" w14:textId="77777777" w:rsidR="003E4757" w:rsidRDefault="00A40394">
      <w:pPr>
        <w:spacing w:before="48" w:after="48"/>
        <w:jc w:val="center"/>
      </w:pPr>
      <w:r>
        <w:rPr>
          <w:noProof/>
        </w:rPr>
        <w:drawing>
          <wp:inline distT="0" distB="0" distL="0" distR="0" wp14:anchorId="707FBB10" wp14:editId="6F383ACA">
            <wp:extent cx="5753100" cy="36290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4"/>
                    <a:stretch>
                      <a:fillRect/>
                    </a:stretch>
                  </pic:blipFill>
                  <pic:spPr bwMode="auto">
                    <a:xfrm>
                      <a:off x="0" y="0"/>
                      <a:ext cx="5753100" cy="3629025"/>
                    </a:xfrm>
                    <a:prstGeom prst="rect">
                      <a:avLst/>
                    </a:prstGeom>
                    <a:noFill/>
                    <a:ln w="9525">
                      <a:noFill/>
                      <a:miter lim="800000"/>
                      <a:headEnd/>
                      <a:tailEnd/>
                    </a:ln>
                  </pic:spPr>
                </pic:pic>
              </a:graphicData>
            </a:graphic>
          </wp:inline>
        </w:drawing>
      </w:r>
      <w:r>
        <w:br w:type="page"/>
      </w:r>
    </w:p>
    <w:p w14:paraId="23109C80" w14:textId="77777777" w:rsidR="003E4757" w:rsidRDefault="00A40394">
      <w:pPr>
        <w:spacing w:before="48" w:after="48"/>
        <w:jc w:val="right"/>
        <w:rPr>
          <w:rFonts w:ascii="Calibri" w:hAnsi="Calibri"/>
          <w:b/>
          <w:sz w:val="20"/>
          <w:szCs w:val="20"/>
        </w:rPr>
      </w:pPr>
      <w:r>
        <w:rPr>
          <w:b/>
          <w:sz w:val="20"/>
          <w:szCs w:val="20"/>
        </w:rPr>
        <w:t>EK-2</w:t>
      </w:r>
    </w:p>
    <w:p w14:paraId="4F50A248" w14:textId="77777777" w:rsidR="003E4757" w:rsidRDefault="003E4757">
      <w:pPr>
        <w:spacing w:before="48" w:after="48"/>
        <w:jc w:val="right"/>
        <w:rPr>
          <w:rFonts w:ascii="Calibri" w:hAnsi="Calibri"/>
          <w:b/>
          <w:sz w:val="20"/>
          <w:szCs w:val="20"/>
        </w:rPr>
      </w:pPr>
    </w:p>
    <w:p w14:paraId="636E7E71" w14:textId="77777777" w:rsidR="003E4757" w:rsidRDefault="00A40394">
      <w:pPr>
        <w:spacing w:before="48" w:after="48"/>
        <w:jc w:val="center"/>
        <w:rPr>
          <w:rFonts w:ascii="Calibri" w:hAnsi="Calibri"/>
          <w:b/>
          <w:sz w:val="20"/>
          <w:szCs w:val="20"/>
        </w:rPr>
      </w:pPr>
      <w:r>
        <w:rPr>
          <w:b/>
          <w:sz w:val="20"/>
          <w:szCs w:val="20"/>
        </w:rPr>
        <w:t>Gıda ile Temas Eden Kağıt Esaslı Madde ve Malzemeler</w:t>
      </w:r>
    </w:p>
    <w:p w14:paraId="20F5B089" w14:textId="77777777" w:rsidR="003E4757" w:rsidRDefault="003E4757">
      <w:pPr>
        <w:spacing w:before="48" w:after="48"/>
        <w:jc w:val="center"/>
        <w:rPr>
          <w:rFonts w:ascii="Calibri" w:hAnsi="Calibri"/>
          <w:b/>
          <w:sz w:val="20"/>
          <w:szCs w:val="20"/>
        </w:rPr>
      </w:pPr>
    </w:p>
    <w:p w14:paraId="0C823870" w14:textId="77777777" w:rsidR="003E4757" w:rsidRDefault="00A40394">
      <w:pPr>
        <w:spacing w:before="48" w:after="48"/>
        <w:ind w:firstLine="851"/>
        <w:jc w:val="both"/>
        <w:rPr>
          <w:rFonts w:ascii="Calibri" w:hAnsi="Calibri"/>
          <w:sz w:val="20"/>
          <w:szCs w:val="20"/>
        </w:rPr>
      </w:pPr>
      <w:r>
        <w:rPr>
          <w:sz w:val="20"/>
          <w:szCs w:val="20"/>
        </w:rPr>
        <w:t xml:space="preserve">(1) Gıda ile </w:t>
      </w:r>
      <w:r>
        <w:rPr>
          <w:sz w:val="20"/>
          <w:szCs w:val="20"/>
        </w:rPr>
        <w:t>temas eden kâğıt esaslı madde ve malzemeler için özel kurallar aşağıda</w:t>
      </w:r>
    </w:p>
    <w:p w14:paraId="7ABBCACB" w14:textId="77777777" w:rsidR="003E4757" w:rsidRDefault="00A40394">
      <w:pPr>
        <w:spacing w:before="48" w:after="48"/>
        <w:ind w:firstLine="851"/>
        <w:jc w:val="both"/>
        <w:rPr>
          <w:rFonts w:ascii="Calibri" w:hAnsi="Calibri"/>
          <w:sz w:val="20"/>
          <w:szCs w:val="20"/>
        </w:rPr>
      </w:pPr>
      <w:r>
        <w:rPr>
          <w:sz w:val="20"/>
          <w:szCs w:val="20"/>
        </w:rPr>
        <w:t xml:space="preserve">verilmiştir; </w:t>
      </w:r>
    </w:p>
    <w:p w14:paraId="115FD119" w14:textId="77777777" w:rsidR="003E4757" w:rsidRDefault="00A40394">
      <w:pPr>
        <w:spacing w:before="48" w:after="48"/>
        <w:ind w:firstLine="851"/>
        <w:jc w:val="both"/>
        <w:rPr>
          <w:rFonts w:ascii="Calibri" w:hAnsi="Calibri"/>
          <w:sz w:val="20"/>
          <w:szCs w:val="20"/>
        </w:rPr>
      </w:pPr>
      <w:r>
        <w:rPr>
          <w:sz w:val="20"/>
          <w:szCs w:val="20"/>
        </w:rPr>
        <w:t>a) Kâğıt, karton, oluklu mukavva ve benzeri kâğıt esaslı madde ve malzemelerden</w:t>
      </w:r>
    </w:p>
    <w:p w14:paraId="23E56F98" w14:textId="77777777" w:rsidR="003E4757" w:rsidRDefault="00A40394">
      <w:pPr>
        <w:spacing w:before="48" w:after="48"/>
        <w:ind w:firstLine="851"/>
        <w:jc w:val="both"/>
        <w:rPr>
          <w:rFonts w:ascii="Calibri" w:hAnsi="Calibri"/>
          <w:sz w:val="20"/>
          <w:szCs w:val="20"/>
        </w:rPr>
      </w:pPr>
      <w:r>
        <w:rPr>
          <w:sz w:val="20"/>
          <w:szCs w:val="20"/>
        </w:rPr>
        <w:t xml:space="preserve">gıdaya boyar madde geçişi olmamalıdır. </w:t>
      </w:r>
    </w:p>
    <w:p w14:paraId="33F6E6F2" w14:textId="77777777" w:rsidR="003E4757" w:rsidRDefault="00A40394">
      <w:pPr>
        <w:spacing w:before="48" w:after="48"/>
        <w:ind w:firstLine="851"/>
        <w:jc w:val="both"/>
        <w:rPr>
          <w:rFonts w:ascii="Calibri" w:hAnsi="Calibri"/>
          <w:sz w:val="20"/>
          <w:szCs w:val="20"/>
        </w:rPr>
      </w:pPr>
      <w:r>
        <w:rPr>
          <w:sz w:val="20"/>
          <w:szCs w:val="20"/>
        </w:rPr>
        <w:t>b) Gıda ile temas amacıyla üretilmemiş basılı ve ya</w:t>
      </w:r>
      <w:r>
        <w:rPr>
          <w:sz w:val="20"/>
          <w:szCs w:val="20"/>
        </w:rPr>
        <w:t>zılı kağıtlar ve yeniden işlenmiş kağıtlar, gıda ile temas etmek üzere kullanılamaz. Ancak yumurta ve meyve-sebze viollerinin üretiminde, iyi üretim uygulamaları çerçevesinde ve son üründe bu ekin (c) bendindeki</w:t>
      </w:r>
    </w:p>
    <w:p w14:paraId="2206ABC1" w14:textId="77777777" w:rsidR="003E4757" w:rsidRDefault="00A40394">
      <w:pPr>
        <w:spacing w:before="48" w:after="48"/>
        <w:ind w:firstLine="851"/>
        <w:jc w:val="both"/>
        <w:rPr>
          <w:rFonts w:ascii="Calibri" w:hAnsi="Calibri"/>
          <w:sz w:val="20"/>
          <w:szCs w:val="20"/>
        </w:rPr>
      </w:pPr>
      <w:r>
        <w:rPr>
          <w:sz w:val="20"/>
          <w:szCs w:val="20"/>
        </w:rPr>
        <w:t>kriterleri sağlayacak şekilde üretilmeleri k</w:t>
      </w:r>
      <w:r>
        <w:rPr>
          <w:sz w:val="20"/>
          <w:szCs w:val="20"/>
        </w:rPr>
        <w:t>oşuluyla yeniden işlenmiş kağıt kullanılabilir.</w:t>
      </w:r>
    </w:p>
    <w:p w14:paraId="74F7DCC8" w14:textId="77777777" w:rsidR="003E4757" w:rsidRDefault="00A40394">
      <w:pPr>
        <w:spacing w:before="48" w:after="48"/>
        <w:ind w:firstLine="851"/>
        <w:jc w:val="both"/>
        <w:rPr>
          <w:rFonts w:ascii="Calibri" w:hAnsi="Calibri"/>
          <w:sz w:val="20"/>
          <w:szCs w:val="20"/>
        </w:rPr>
      </w:pPr>
      <w:r>
        <w:rPr>
          <w:sz w:val="20"/>
          <w:szCs w:val="20"/>
        </w:rPr>
        <w:t>c) Gıda ile temas eden kâğıt esaslı madde ve malzemelerin bileşiminde bulunabilecek</w:t>
      </w:r>
    </w:p>
    <w:p w14:paraId="63DDE468" w14:textId="77777777" w:rsidR="003E4757" w:rsidRDefault="00A40394">
      <w:pPr>
        <w:spacing w:before="48" w:after="48"/>
        <w:ind w:firstLine="851"/>
        <w:jc w:val="both"/>
        <w:rPr>
          <w:rFonts w:ascii="Calibri" w:hAnsi="Calibri"/>
          <w:sz w:val="20"/>
          <w:szCs w:val="20"/>
        </w:rPr>
      </w:pPr>
      <w:r>
        <w:rPr>
          <w:sz w:val="20"/>
          <w:szCs w:val="20"/>
        </w:rPr>
        <w:t>maddelere ilişkin kısıtlamalar Tablo-l 'de yer almaktadır.</w:t>
      </w:r>
    </w:p>
    <w:p w14:paraId="52905E72" w14:textId="77777777" w:rsidR="003E4757" w:rsidRDefault="003E4757">
      <w:pPr>
        <w:spacing w:before="48" w:after="48"/>
        <w:ind w:firstLine="851"/>
        <w:jc w:val="both"/>
        <w:rPr>
          <w:rFonts w:ascii="Calibri" w:hAnsi="Calibri"/>
          <w:sz w:val="20"/>
          <w:szCs w:val="20"/>
        </w:rPr>
      </w:pPr>
    </w:p>
    <w:p w14:paraId="07840E23" w14:textId="77777777" w:rsidR="003E4757" w:rsidRDefault="003E4757">
      <w:pPr>
        <w:spacing w:before="48" w:after="48"/>
        <w:ind w:left="851" w:right="992"/>
        <w:jc w:val="both"/>
        <w:rPr>
          <w:rFonts w:ascii="Calibri" w:hAnsi="Calibri"/>
          <w:b/>
          <w:sz w:val="20"/>
          <w:szCs w:val="20"/>
        </w:rPr>
      </w:pPr>
    </w:p>
    <w:p w14:paraId="701F1C92" w14:textId="77777777" w:rsidR="003E4757" w:rsidRDefault="00A40394">
      <w:pPr>
        <w:spacing w:before="48" w:after="48"/>
        <w:ind w:left="851" w:right="992"/>
        <w:jc w:val="both"/>
        <w:rPr>
          <w:rFonts w:ascii="Calibri" w:hAnsi="Calibri"/>
          <w:sz w:val="20"/>
          <w:szCs w:val="20"/>
        </w:rPr>
      </w:pPr>
      <w:r>
        <w:rPr>
          <w:b/>
          <w:sz w:val="20"/>
          <w:szCs w:val="20"/>
        </w:rPr>
        <w:t>Tablo-l:</w:t>
      </w:r>
      <w:r>
        <w:rPr>
          <w:sz w:val="20"/>
          <w:szCs w:val="20"/>
        </w:rPr>
        <w:t xml:space="preserve"> Gıda ile temas eden kâğıt esaslı madde ve malzemelerin</w:t>
      </w:r>
      <w:r>
        <w:rPr>
          <w:sz w:val="20"/>
          <w:szCs w:val="20"/>
        </w:rPr>
        <w:t xml:space="preserve"> bileşiminde bulunabilecek maddelere ilişkin kısıtlamalar</w:t>
      </w:r>
    </w:p>
    <w:p w14:paraId="7497EE4B" w14:textId="77777777" w:rsidR="003E4757" w:rsidRDefault="003E4757">
      <w:pPr>
        <w:spacing w:before="48" w:after="48"/>
        <w:rPr>
          <w:rFonts w:ascii="Calibri" w:hAnsi="Calibri"/>
          <w:sz w:val="20"/>
          <w:szCs w:val="20"/>
        </w:rPr>
      </w:pPr>
    </w:p>
    <w:tbl>
      <w:tblPr>
        <w:tblW w:w="32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75"/>
        <w:gridCol w:w="1607"/>
      </w:tblGrid>
      <w:tr w:rsidR="003E4757" w14:paraId="440A3DB8" w14:textId="77777777">
        <w:trPr>
          <w:jc w:val="center"/>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9DAAC3" w14:textId="77777777" w:rsidR="003E4757" w:rsidRDefault="00A40394">
            <w:pPr>
              <w:spacing w:before="48" w:after="48"/>
              <w:rPr>
                <w:rFonts w:ascii="Calibri" w:hAnsi="Calibri"/>
                <w:b/>
                <w:sz w:val="20"/>
                <w:szCs w:val="20"/>
              </w:rPr>
            </w:pPr>
            <w:r>
              <w:rPr>
                <w:b/>
                <w:sz w:val="20"/>
                <w:szCs w:val="20"/>
              </w:rPr>
              <w:t>Madde</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ACA386" w14:textId="77777777" w:rsidR="003E4757" w:rsidRDefault="00A40394">
            <w:pPr>
              <w:spacing w:before="48" w:after="48"/>
              <w:rPr>
                <w:rFonts w:ascii="Calibri" w:hAnsi="Calibri"/>
                <w:b/>
                <w:sz w:val="20"/>
                <w:szCs w:val="20"/>
              </w:rPr>
            </w:pPr>
            <w:r>
              <w:rPr>
                <w:b/>
                <w:sz w:val="20"/>
                <w:szCs w:val="20"/>
              </w:rPr>
              <w:t>Maksimum Limit</w:t>
            </w:r>
          </w:p>
        </w:tc>
      </w:tr>
      <w:tr w:rsidR="003E4757" w14:paraId="699810B0" w14:textId="77777777">
        <w:trPr>
          <w:jc w:val="center"/>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EEA737" w14:textId="77777777" w:rsidR="003E4757" w:rsidRDefault="00A40394">
            <w:pPr>
              <w:spacing w:before="48" w:after="48"/>
              <w:rPr>
                <w:rFonts w:ascii="Calibri" w:hAnsi="Calibri"/>
                <w:sz w:val="20"/>
                <w:szCs w:val="20"/>
              </w:rPr>
            </w:pPr>
            <w:r>
              <w:rPr>
                <w:sz w:val="20"/>
                <w:szCs w:val="20"/>
              </w:rPr>
              <w:t>Titandioksit (TiO</w:t>
            </w:r>
            <w:r>
              <w:rPr>
                <w:sz w:val="20"/>
                <w:szCs w:val="20"/>
                <w:vertAlign w:val="subscript"/>
              </w:rPr>
              <w:t>2</w:t>
            </w:r>
            <w:r>
              <w:rPr>
                <w:sz w:val="20"/>
                <w:szCs w:val="20"/>
              </w:rPr>
              <w:t>)</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91CDFB" w14:textId="77777777" w:rsidR="003E4757" w:rsidRDefault="00A40394">
            <w:pPr>
              <w:spacing w:before="48" w:after="48"/>
              <w:rPr>
                <w:rFonts w:ascii="Calibri" w:hAnsi="Calibri"/>
                <w:sz w:val="20"/>
                <w:szCs w:val="20"/>
              </w:rPr>
            </w:pPr>
            <w:r>
              <w:rPr>
                <w:sz w:val="20"/>
                <w:szCs w:val="20"/>
              </w:rPr>
              <w:t>% 3</w:t>
            </w:r>
          </w:p>
        </w:tc>
      </w:tr>
      <w:tr w:rsidR="003E4757" w14:paraId="42DA9E04" w14:textId="77777777">
        <w:trPr>
          <w:jc w:val="center"/>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C52F8B" w14:textId="77777777" w:rsidR="003E4757" w:rsidRDefault="00A40394">
            <w:pPr>
              <w:spacing w:before="48" w:after="48"/>
              <w:rPr>
                <w:rFonts w:ascii="Calibri" w:hAnsi="Calibri"/>
                <w:sz w:val="20"/>
                <w:szCs w:val="20"/>
              </w:rPr>
            </w:pPr>
            <w:r>
              <w:rPr>
                <w:sz w:val="20"/>
                <w:szCs w:val="20"/>
              </w:rPr>
              <w:t>Kurşun</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BDA7C8" w14:textId="77777777" w:rsidR="003E4757" w:rsidRDefault="00A40394">
            <w:pPr>
              <w:spacing w:before="48" w:after="48"/>
              <w:rPr>
                <w:rFonts w:ascii="Calibri" w:hAnsi="Calibri"/>
                <w:sz w:val="20"/>
                <w:szCs w:val="20"/>
              </w:rPr>
            </w:pPr>
            <w:r>
              <w:rPr>
                <w:sz w:val="20"/>
                <w:szCs w:val="20"/>
              </w:rPr>
              <w:t>20 mg/kg</w:t>
            </w:r>
          </w:p>
        </w:tc>
      </w:tr>
      <w:tr w:rsidR="003E4757" w14:paraId="3FD048F9" w14:textId="77777777">
        <w:trPr>
          <w:jc w:val="center"/>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ECCAC1" w14:textId="77777777" w:rsidR="003E4757" w:rsidRDefault="00A40394">
            <w:pPr>
              <w:spacing w:before="48" w:after="48"/>
              <w:rPr>
                <w:rFonts w:ascii="Calibri" w:hAnsi="Calibri"/>
                <w:sz w:val="20"/>
                <w:szCs w:val="20"/>
              </w:rPr>
            </w:pPr>
            <w:r>
              <w:rPr>
                <w:sz w:val="20"/>
                <w:szCs w:val="20"/>
              </w:rPr>
              <w:t>Arsenik</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2B3D02" w14:textId="77777777" w:rsidR="003E4757" w:rsidRDefault="00A40394">
            <w:pPr>
              <w:spacing w:before="48" w:after="48"/>
              <w:rPr>
                <w:rFonts w:ascii="Calibri" w:hAnsi="Calibri"/>
                <w:sz w:val="20"/>
                <w:szCs w:val="20"/>
              </w:rPr>
            </w:pPr>
            <w:r>
              <w:rPr>
                <w:sz w:val="20"/>
                <w:szCs w:val="20"/>
              </w:rPr>
              <w:t>2 mg/kg</w:t>
            </w:r>
          </w:p>
        </w:tc>
      </w:tr>
      <w:tr w:rsidR="003E4757" w14:paraId="11AF7F98" w14:textId="77777777">
        <w:trPr>
          <w:jc w:val="center"/>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8C4ABB" w14:textId="77777777" w:rsidR="003E4757" w:rsidRDefault="00A40394">
            <w:pPr>
              <w:spacing w:before="48" w:after="48"/>
              <w:rPr>
                <w:rFonts w:ascii="Calibri" w:hAnsi="Calibri"/>
                <w:sz w:val="20"/>
                <w:szCs w:val="20"/>
              </w:rPr>
            </w:pPr>
            <w:r>
              <w:rPr>
                <w:sz w:val="20"/>
                <w:szCs w:val="20"/>
              </w:rPr>
              <w:t>Klorür</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1BAC59" w14:textId="77777777" w:rsidR="003E4757" w:rsidRDefault="00A40394">
            <w:pPr>
              <w:spacing w:before="48" w:after="48"/>
              <w:rPr>
                <w:rFonts w:ascii="Calibri" w:hAnsi="Calibri"/>
                <w:sz w:val="20"/>
                <w:szCs w:val="20"/>
              </w:rPr>
            </w:pPr>
            <w:r>
              <w:rPr>
                <w:sz w:val="20"/>
                <w:szCs w:val="20"/>
              </w:rPr>
              <w:t>% 0,2</w:t>
            </w:r>
          </w:p>
        </w:tc>
      </w:tr>
      <w:tr w:rsidR="003E4757" w14:paraId="3B038FD0" w14:textId="77777777">
        <w:trPr>
          <w:jc w:val="center"/>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BE929C" w14:textId="77777777" w:rsidR="003E4757" w:rsidRDefault="00A40394">
            <w:pPr>
              <w:spacing w:before="48" w:after="48"/>
              <w:rPr>
                <w:rFonts w:ascii="Calibri" w:hAnsi="Calibri"/>
                <w:sz w:val="20"/>
                <w:szCs w:val="20"/>
              </w:rPr>
            </w:pPr>
            <w:r>
              <w:rPr>
                <w:sz w:val="20"/>
                <w:szCs w:val="20"/>
              </w:rPr>
              <w:t>Poliklorbifenil</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0B1A79" w14:textId="77777777" w:rsidR="003E4757" w:rsidRDefault="00A40394">
            <w:pPr>
              <w:spacing w:before="48" w:after="48"/>
              <w:rPr>
                <w:rFonts w:ascii="Calibri" w:hAnsi="Calibri"/>
                <w:sz w:val="20"/>
                <w:szCs w:val="20"/>
              </w:rPr>
            </w:pPr>
            <w:r>
              <w:rPr>
                <w:sz w:val="20"/>
                <w:szCs w:val="20"/>
              </w:rPr>
              <w:t>2 mg/kg</w:t>
            </w:r>
          </w:p>
        </w:tc>
      </w:tr>
      <w:tr w:rsidR="003E4757" w14:paraId="01C66689" w14:textId="77777777">
        <w:trPr>
          <w:jc w:val="center"/>
        </w:trPr>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B10225" w14:textId="77777777" w:rsidR="003E4757" w:rsidRDefault="00A40394">
            <w:pPr>
              <w:spacing w:before="48" w:after="48"/>
              <w:rPr>
                <w:rFonts w:ascii="Calibri" w:hAnsi="Calibri"/>
                <w:sz w:val="20"/>
                <w:szCs w:val="20"/>
              </w:rPr>
            </w:pPr>
            <w:r>
              <w:rPr>
                <w:sz w:val="20"/>
                <w:szCs w:val="20"/>
              </w:rPr>
              <w:t>Formaldehit</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AC0847" w14:textId="77777777" w:rsidR="003E4757" w:rsidRDefault="00A40394">
            <w:pPr>
              <w:spacing w:before="48" w:after="48"/>
              <w:rPr>
                <w:rFonts w:ascii="Calibri" w:hAnsi="Calibri"/>
                <w:sz w:val="20"/>
                <w:szCs w:val="20"/>
              </w:rPr>
            </w:pPr>
            <w:r>
              <w:rPr>
                <w:sz w:val="20"/>
                <w:szCs w:val="20"/>
              </w:rPr>
              <w:t>15 mg/kg</w:t>
            </w:r>
          </w:p>
        </w:tc>
      </w:tr>
    </w:tbl>
    <w:p w14:paraId="335847F9" w14:textId="77777777" w:rsidR="003E4757" w:rsidRDefault="00A40394">
      <w:pPr>
        <w:spacing w:before="48" w:after="48"/>
        <w:jc w:val="center"/>
        <w:rPr>
          <w:rFonts w:ascii="Calibri" w:hAnsi="Calibri"/>
          <w:sz w:val="20"/>
          <w:szCs w:val="20"/>
        </w:rPr>
      </w:pPr>
      <w:r>
        <w:br w:type="page"/>
      </w:r>
    </w:p>
    <w:p w14:paraId="5CCDE9C2" w14:textId="77777777" w:rsidR="003E4757" w:rsidRDefault="00A40394">
      <w:pPr>
        <w:spacing w:before="48" w:after="48"/>
        <w:jc w:val="right"/>
        <w:rPr>
          <w:rFonts w:ascii="Calibri" w:hAnsi="Calibri"/>
          <w:b/>
          <w:sz w:val="20"/>
          <w:szCs w:val="20"/>
        </w:rPr>
      </w:pPr>
      <w:r>
        <w:rPr>
          <w:b/>
          <w:sz w:val="20"/>
          <w:szCs w:val="20"/>
        </w:rPr>
        <w:t xml:space="preserve">(Değişik:RG-16/8/2014-29090) </w:t>
      </w:r>
    </w:p>
    <w:p w14:paraId="628DA133" w14:textId="77777777" w:rsidR="003E4757" w:rsidRDefault="00A40394">
      <w:pPr>
        <w:pStyle w:val="2-OrtaBaslk"/>
        <w:spacing w:line="240" w:lineRule="exact"/>
        <w:ind w:firstLine="566"/>
        <w:jc w:val="right"/>
        <w:rPr>
          <w:rFonts w:ascii="Calibri" w:hAnsi="Calibri"/>
          <w:sz w:val="20"/>
        </w:rPr>
      </w:pPr>
      <w:r>
        <w:rPr>
          <w:rFonts w:ascii="Calibri" w:hAnsi="Calibri"/>
          <w:sz w:val="20"/>
        </w:rPr>
        <w:t>Ek-3</w:t>
      </w:r>
    </w:p>
    <w:p w14:paraId="6E6E06AE" w14:textId="77777777" w:rsidR="003E4757" w:rsidRDefault="00A40394">
      <w:pPr>
        <w:pStyle w:val="2-OrtaBaslk"/>
        <w:spacing w:line="240" w:lineRule="exact"/>
        <w:ind w:firstLine="566"/>
        <w:rPr>
          <w:rFonts w:ascii="Calibri" w:hAnsi="Calibri"/>
          <w:sz w:val="20"/>
        </w:rPr>
      </w:pPr>
      <w:r>
        <w:rPr>
          <w:rFonts w:ascii="Calibri" w:hAnsi="Calibri"/>
          <w:sz w:val="20"/>
        </w:rPr>
        <w:t>Gıda ile Temas Eden Metal Esaslı Madde ve Malzemeler</w:t>
      </w:r>
    </w:p>
    <w:p w14:paraId="0E03234C" w14:textId="77777777" w:rsidR="003E4757" w:rsidRDefault="00A40394">
      <w:pPr>
        <w:pStyle w:val="3-NormalYaz"/>
        <w:spacing w:line="240" w:lineRule="exact"/>
        <w:ind w:firstLine="566"/>
        <w:rPr>
          <w:rFonts w:ascii="Calibri" w:hAnsi="Calibri"/>
          <w:sz w:val="20"/>
        </w:rPr>
      </w:pPr>
      <w:r>
        <w:rPr>
          <w:rFonts w:ascii="Calibri" w:hAnsi="Calibri"/>
          <w:sz w:val="20"/>
        </w:rPr>
        <w:t>(1) Gıda ile temas eden metal esaslı madde ve malzemeler için özel kurallar aşağıda verilmiştir;</w:t>
      </w:r>
    </w:p>
    <w:p w14:paraId="296DC53F" w14:textId="77777777" w:rsidR="003E4757" w:rsidRDefault="00A40394">
      <w:pPr>
        <w:pStyle w:val="3-NormalYaz"/>
        <w:spacing w:line="240" w:lineRule="exact"/>
        <w:ind w:firstLine="566"/>
        <w:rPr>
          <w:rFonts w:ascii="Calibri" w:hAnsi="Calibri"/>
          <w:sz w:val="20"/>
        </w:rPr>
      </w:pPr>
      <w:r>
        <w:rPr>
          <w:rFonts w:ascii="Calibri" w:hAnsi="Calibri"/>
          <w:sz w:val="20"/>
        </w:rPr>
        <w:t>a) Gıda ile temas eden paslanmaz çelik dışındaki metal esaslı malzemele</w:t>
      </w:r>
      <w:r>
        <w:rPr>
          <w:rFonts w:ascii="Calibri" w:hAnsi="Calibri"/>
          <w:sz w:val="20"/>
        </w:rPr>
        <w:t>r gıdanın özelliğine göre kalay, krom, krom oksit, emaye, seramik esaslı malzemeler, lak, plastik veya gıda ile temasa uygun bir kaplama ile kaplanır.</w:t>
      </w:r>
    </w:p>
    <w:p w14:paraId="7334C2EC" w14:textId="77777777" w:rsidR="003E4757" w:rsidRDefault="00A40394">
      <w:pPr>
        <w:pStyle w:val="3-NormalYaz"/>
        <w:spacing w:line="240" w:lineRule="exact"/>
        <w:ind w:firstLine="566"/>
        <w:rPr>
          <w:rFonts w:ascii="Calibri" w:hAnsi="Calibri"/>
          <w:sz w:val="20"/>
        </w:rPr>
      </w:pPr>
      <w:r>
        <w:rPr>
          <w:rFonts w:ascii="Calibri" w:hAnsi="Calibri"/>
          <w:sz w:val="20"/>
        </w:rPr>
        <w:t>b) Gıda ile temas için üretilmiş, kaplamasız dökme demir malzemeler, etiketlerinde 8 inci maddenin birinc</w:t>
      </w:r>
      <w:r>
        <w:rPr>
          <w:rFonts w:ascii="Calibri" w:hAnsi="Calibri"/>
          <w:sz w:val="20"/>
        </w:rPr>
        <w:t>i fıkrasının (a) bendinin (2) numaralı alt bendi gereğince uygun kullanım için koşulların belirtilmesi ve bu Yönetmeliğin genel hükümlerine uygun olması şartıyla kullanılabilir.</w:t>
      </w:r>
    </w:p>
    <w:p w14:paraId="4A26CB0C" w14:textId="77777777" w:rsidR="003E4757" w:rsidRDefault="00A40394">
      <w:pPr>
        <w:pStyle w:val="3-NormalYaz"/>
        <w:spacing w:line="240" w:lineRule="exact"/>
        <w:ind w:firstLine="566"/>
        <w:rPr>
          <w:rFonts w:ascii="Calibri" w:hAnsi="Calibri"/>
          <w:sz w:val="20"/>
        </w:rPr>
      </w:pPr>
      <w:r>
        <w:rPr>
          <w:rFonts w:ascii="Calibri" w:hAnsi="Calibri"/>
          <w:sz w:val="20"/>
        </w:rPr>
        <w:t>c) Gıda ile temas eden alüminyum ve alüminyum alaşımlar için (g) ve (ğ) bendin</w:t>
      </w:r>
      <w:r>
        <w:rPr>
          <w:rFonts w:ascii="Calibri" w:hAnsi="Calibri"/>
          <w:sz w:val="20"/>
        </w:rPr>
        <w:t>de yer alan hükümler dikkate alınır.</w:t>
      </w:r>
    </w:p>
    <w:p w14:paraId="4D487A2E" w14:textId="77777777" w:rsidR="003E4757" w:rsidRDefault="00A40394">
      <w:pPr>
        <w:pStyle w:val="3-NormalYaz"/>
        <w:spacing w:line="240" w:lineRule="exact"/>
        <w:ind w:firstLine="566"/>
        <w:rPr>
          <w:rFonts w:ascii="Calibri" w:hAnsi="Calibri"/>
          <w:sz w:val="20"/>
        </w:rPr>
      </w:pPr>
      <w:r>
        <w:rPr>
          <w:rFonts w:ascii="Calibri" w:hAnsi="Calibri"/>
          <w:sz w:val="20"/>
        </w:rPr>
        <w:t>ç) Kaplama maddelerinin kaplanan tüm yüzeylere homojen bir şekilde dağılması gerekir.</w:t>
      </w:r>
    </w:p>
    <w:p w14:paraId="708402FC" w14:textId="77777777" w:rsidR="003E4757" w:rsidRDefault="00A40394">
      <w:pPr>
        <w:pStyle w:val="3-NormalYaz"/>
        <w:spacing w:line="240" w:lineRule="exact"/>
        <w:ind w:firstLine="566"/>
        <w:rPr>
          <w:rFonts w:ascii="Calibri" w:hAnsi="Calibri"/>
          <w:sz w:val="20"/>
        </w:rPr>
      </w:pPr>
      <w:r>
        <w:rPr>
          <w:rFonts w:ascii="Calibri" w:hAnsi="Calibri"/>
          <w:sz w:val="20"/>
        </w:rPr>
        <w:t xml:space="preserve">d) Lak ve plastik kaplamalar gıda ile temas eden plastik maddelerin özelliklerine, seramik kaplamalar ise gıda ile temas eden </w:t>
      </w:r>
      <w:r>
        <w:rPr>
          <w:rFonts w:ascii="Calibri" w:hAnsi="Calibri"/>
          <w:sz w:val="20"/>
        </w:rPr>
        <w:t>seramik malzemelerin özelliklerine uygun olur.</w:t>
      </w:r>
    </w:p>
    <w:p w14:paraId="13737A4E" w14:textId="77777777" w:rsidR="003E4757" w:rsidRDefault="00A40394">
      <w:pPr>
        <w:pStyle w:val="3-NormalYaz"/>
        <w:spacing w:line="240" w:lineRule="exact"/>
        <w:ind w:firstLine="566"/>
        <w:rPr>
          <w:rFonts w:ascii="Calibri" w:hAnsi="Calibri"/>
          <w:sz w:val="20"/>
        </w:rPr>
      </w:pPr>
      <w:r>
        <w:rPr>
          <w:rFonts w:ascii="Calibri" w:hAnsi="Calibri"/>
          <w:sz w:val="20"/>
        </w:rPr>
        <w:t>e) Metal esaslı malzemelerin gıda ile temas eden yüzey kaplamasındaki kalay miktarı en az 2,3 g/m</w:t>
      </w:r>
      <w:r>
        <w:rPr>
          <w:rFonts w:ascii="Calibri" w:hAnsi="Calibri"/>
          <w:sz w:val="20"/>
          <w:vertAlign w:val="superscript"/>
        </w:rPr>
        <w:t>2</w:t>
      </w:r>
      <w:r>
        <w:rPr>
          <w:rFonts w:ascii="Calibri" w:hAnsi="Calibri"/>
          <w:sz w:val="20"/>
        </w:rPr>
        <w:t>, krom miktarı en az 50 mg/m</w:t>
      </w:r>
      <w:r>
        <w:rPr>
          <w:rFonts w:ascii="Calibri" w:hAnsi="Calibri"/>
          <w:sz w:val="20"/>
          <w:vertAlign w:val="superscript"/>
        </w:rPr>
        <w:t>2</w:t>
      </w:r>
      <w:r>
        <w:rPr>
          <w:rFonts w:ascii="Calibri" w:hAnsi="Calibri"/>
          <w:sz w:val="20"/>
        </w:rPr>
        <w:t xml:space="preserve"> ve krom oksit miktarı en az 7 mg/m</w:t>
      </w:r>
      <w:r>
        <w:rPr>
          <w:rFonts w:ascii="Calibri" w:hAnsi="Calibri"/>
          <w:sz w:val="20"/>
          <w:vertAlign w:val="superscript"/>
        </w:rPr>
        <w:t>2</w:t>
      </w:r>
      <w:r>
        <w:rPr>
          <w:rFonts w:ascii="Calibri" w:hAnsi="Calibri"/>
          <w:sz w:val="20"/>
        </w:rPr>
        <w:t xml:space="preserve"> olur.</w:t>
      </w:r>
    </w:p>
    <w:p w14:paraId="5027C672" w14:textId="77777777" w:rsidR="003E4757" w:rsidRDefault="00A40394">
      <w:pPr>
        <w:pStyle w:val="3-NormalYaz"/>
        <w:spacing w:line="240" w:lineRule="exact"/>
        <w:ind w:firstLine="566"/>
        <w:rPr>
          <w:rFonts w:ascii="Calibri" w:hAnsi="Calibri"/>
          <w:sz w:val="20"/>
        </w:rPr>
      </w:pPr>
      <w:r>
        <w:rPr>
          <w:rFonts w:ascii="Calibri" w:hAnsi="Calibri"/>
          <w:sz w:val="20"/>
        </w:rPr>
        <w:t>f) Metalik kaplama maddelerinin bileşim</w:t>
      </w:r>
      <w:r>
        <w:rPr>
          <w:rFonts w:ascii="Calibri" w:hAnsi="Calibri"/>
          <w:sz w:val="20"/>
        </w:rPr>
        <w:t>inde; antimon % 0,05’ten, kadmiyum % 0,001’den, arsenik % 0,03’ten, kurşun % 0,05’ten fazla olamaz.</w:t>
      </w:r>
    </w:p>
    <w:p w14:paraId="20F4E187" w14:textId="77777777" w:rsidR="003E4757" w:rsidRDefault="00A40394">
      <w:pPr>
        <w:pStyle w:val="3-NormalYaz"/>
        <w:spacing w:line="240" w:lineRule="exact"/>
        <w:ind w:firstLine="566"/>
        <w:rPr>
          <w:rFonts w:ascii="Calibri" w:hAnsi="Calibri"/>
          <w:sz w:val="20"/>
        </w:rPr>
      </w:pPr>
      <w:r>
        <w:rPr>
          <w:rFonts w:ascii="Calibri" w:hAnsi="Calibri"/>
          <w:sz w:val="20"/>
        </w:rPr>
        <w:t xml:space="preserve">g) Gıda ile temas eden alüminyum ve alüminyum alaşımı madde ve malzemelerden gıdaya geçen alüminyum miktarı en fazla 5 mg/kg gıda olacaktır. Gıda ile temas </w:t>
      </w:r>
      <w:r>
        <w:rPr>
          <w:rFonts w:ascii="Calibri" w:hAnsi="Calibri"/>
          <w:sz w:val="20"/>
        </w:rPr>
        <w:t>eden kaplamasız alüminyum ve alüminyum alaşım madde ve malzemelerin etiketlerinde 8 inci  maddenin birinci fıkrasının (a) bendinin (2) numaralı alt bendi gereğince; ‘asidik (pH &lt; 4,5), bazik (pH &gt; 8,5) ve tuz içeriği %3,5 NaCl’den fazla olan gıdaların depo</w:t>
      </w:r>
      <w:r>
        <w:rPr>
          <w:rFonts w:ascii="Calibri" w:hAnsi="Calibri"/>
          <w:sz w:val="20"/>
        </w:rPr>
        <w:t>lanması, pişirilmesi ya da işlenmesi için kullanmayınız’ veya ‘sadece buzdolabı koşullarında muhafaza için kullanınız’ ifadelerine yer verilir.</w:t>
      </w:r>
    </w:p>
    <w:p w14:paraId="6D7CB0E9" w14:textId="77777777" w:rsidR="003E4757" w:rsidRDefault="00A40394">
      <w:pPr>
        <w:pStyle w:val="3-NormalYaz"/>
        <w:spacing w:line="240" w:lineRule="exact"/>
        <w:ind w:firstLine="566"/>
        <w:rPr>
          <w:rFonts w:ascii="Calibri" w:hAnsi="Calibri"/>
          <w:sz w:val="20"/>
        </w:rPr>
      </w:pPr>
      <w:r>
        <w:rPr>
          <w:rFonts w:ascii="Calibri" w:hAnsi="Calibri"/>
          <w:sz w:val="20"/>
        </w:rPr>
        <w:t>ğ) Alüminyum folyolarda, alüminyum tüplerde ve tek kullanımlık alüminyum kaplarda alüminyum miktarı en az %95 ol</w:t>
      </w:r>
      <w:r>
        <w:rPr>
          <w:rFonts w:ascii="Calibri" w:hAnsi="Calibri"/>
          <w:sz w:val="20"/>
        </w:rPr>
        <w:t>ur.</w:t>
      </w:r>
    </w:p>
    <w:p w14:paraId="639BD5AD" w14:textId="77777777" w:rsidR="003E4757" w:rsidRDefault="00A40394">
      <w:pPr>
        <w:pStyle w:val="3-NormalYaz"/>
        <w:spacing w:line="240" w:lineRule="exact"/>
        <w:ind w:firstLine="566"/>
        <w:rPr>
          <w:rFonts w:ascii="Calibri" w:hAnsi="Calibri"/>
          <w:sz w:val="20"/>
        </w:rPr>
      </w:pPr>
      <w:r>
        <w:rPr>
          <w:rFonts w:ascii="Calibri" w:hAnsi="Calibri"/>
          <w:sz w:val="20"/>
        </w:rPr>
        <w:t>h) Metal ambalaj kapaklarında kullanılacak contalar, kapak kenarına homojen bir şekilde dağılır, kopma yapmaz ve ısıl işlemlere uygun olur. Plastik contaların özellikleri gıda ile temas eden plastik madde ve malzemelerin özelliklerini sağlar.</w:t>
      </w:r>
    </w:p>
    <w:p w14:paraId="6C613193" w14:textId="77777777" w:rsidR="003E4757" w:rsidRDefault="00A40394">
      <w:pPr>
        <w:pStyle w:val="3-NormalYaz"/>
        <w:spacing w:line="240" w:lineRule="exact"/>
        <w:ind w:firstLine="566"/>
        <w:rPr>
          <w:rFonts w:ascii="Calibri" w:hAnsi="Calibri"/>
          <w:sz w:val="20"/>
        </w:rPr>
      </w:pPr>
      <w:r>
        <w:rPr>
          <w:rFonts w:ascii="Calibri" w:hAnsi="Calibri"/>
          <w:sz w:val="20"/>
        </w:rPr>
        <w:t xml:space="preserve">ı) Çinko </w:t>
      </w:r>
      <w:r>
        <w:rPr>
          <w:rFonts w:ascii="Calibri" w:hAnsi="Calibri"/>
          <w:sz w:val="20"/>
        </w:rPr>
        <w:t>ve çinko ile galvanize edilmiş madde ve malzemeler asitli gıdalar ve alkollü içkiler için kullanılamaz. Ayrıca 8 inci maddenin birinci fıkrasının (a) bendinin (2) numaralı alt bendi gereğince bu madde ve malzemelerin etiketlerinde ‘asitli gıdalar ve alkoll</w:t>
      </w:r>
      <w:r>
        <w:rPr>
          <w:rFonts w:ascii="Calibri" w:hAnsi="Calibri"/>
          <w:sz w:val="20"/>
        </w:rPr>
        <w:t xml:space="preserve">ü içkiler için kullanılmaz’ ifadesine yer verilir. </w:t>
      </w:r>
    </w:p>
    <w:p w14:paraId="67B7CB89" w14:textId="77777777" w:rsidR="003E4757" w:rsidRDefault="00A40394">
      <w:pPr>
        <w:spacing w:before="48" w:after="48"/>
        <w:rPr>
          <w:rFonts w:ascii="Calibri" w:hAnsi="Calibri"/>
          <w:sz w:val="20"/>
          <w:szCs w:val="20"/>
        </w:rPr>
      </w:pPr>
      <w:r>
        <w:br w:type="page"/>
      </w:r>
    </w:p>
    <w:p w14:paraId="11083FC8" w14:textId="77777777" w:rsidR="003E4757" w:rsidRDefault="00A40394">
      <w:pPr>
        <w:spacing w:before="48" w:after="48"/>
        <w:jc w:val="right"/>
        <w:rPr>
          <w:rFonts w:ascii="Calibri" w:hAnsi="Calibri"/>
          <w:b/>
          <w:sz w:val="20"/>
          <w:szCs w:val="20"/>
        </w:rPr>
      </w:pPr>
      <w:r>
        <w:rPr>
          <w:b/>
          <w:sz w:val="20"/>
          <w:szCs w:val="20"/>
        </w:rPr>
        <w:t>EK-4</w:t>
      </w:r>
    </w:p>
    <w:p w14:paraId="04839C8C" w14:textId="77777777" w:rsidR="003E4757" w:rsidRDefault="003E4757">
      <w:pPr>
        <w:spacing w:before="48" w:after="48"/>
        <w:jc w:val="right"/>
        <w:rPr>
          <w:rFonts w:ascii="Calibri" w:hAnsi="Calibri"/>
          <w:b/>
          <w:sz w:val="20"/>
          <w:szCs w:val="20"/>
        </w:rPr>
      </w:pPr>
    </w:p>
    <w:p w14:paraId="481965E0" w14:textId="77777777" w:rsidR="003E4757" w:rsidRDefault="00A40394">
      <w:pPr>
        <w:spacing w:before="48" w:after="48"/>
        <w:jc w:val="center"/>
        <w:rPr>
          <w:rFonts w:ascii="Calibri" w:hAnsi="Calibri"/>
          <w:b/>
          <w:sz w:val="20"/>
          <w:szCs w:val="20"/>
        </w:rPr>
      </w:pPr>
      <w:r>
        <w:rPr>
          <w:b/>
          <w:sz w:val="20"/>
          <w:szCs w:val="20"/>
        </w:rPr>
        <w:t>Gıda He Temas Eden Cam Esaslı Madde ve Malzemeler</w:t>
      </w:r>
    </w:p>
    <w:p w14:paraId="11661300" w14:textId="77777777" w:rsidR="003E4757" w:rsidRDefault="003E4757">
      <w:pPr>
        <w:spacing w:before="48" w:after="48"/>
        <w:jc w:val="center"/>
        <w:rPr>
          <w:rFonts w:ascii="Calibri" w:hAnsi="Calibri"/>
          <w:b/>
          <w:sz w:val="20"/>
          <w:szCs w:val="20"/>
        </w:rPr>
      </w:pPr>
    </w:p>
    <w:p w14:paraId="13F3AB90" w14:textId="77777777" w:rsidR="003E4757" w:rsidRDefault="00A40394">
      <w:pPr>
        <w:spacing w:before="48" w:after="48"/>
        <w:ind w:firstLine="851"/>
        <w:rPr>
          <w:rFonts w:ascii="Calibri" w:hAnsi="Calibri"/>
          <w:sz w:val="20"/>
          <w:szCs w:val="20"/>
        </w:rPr>
      </w:pPr>
      <w:r>
        <w:rPr>
          <w:sz w:val="20"/>
          <w:szCs w:val="20"/>
        </w:rPr>
        <w:t xml:space="preserve">(1) Gıda ile temas eden cam esaslı madde ve malzemelerin özellikleri aşağıda verilmiştir. </w:t>
      </w:r>
    </w:p>
    <w:p w14:paraId="06096E82" w14:textId="77777777" w:rsidR="003E4757" w:rsidRDefault="00A40394">
      <w:pPr>
        <w:spacing w:before="48" w:after="48"/>
        <w:ind w:firstLine="851"/>
        <w:rPr>
          <w:rFonts w:ascii="Calibri" w:hAnsi="Calibri"/>
          <w:sz w:val="20"/>
          <w:szCs w:val="20"/>
        </w:rPr>
      </w:pPr>
      <w:r>
        <w:rPr>
          <w:sz w:val="20"/>
          <w:szCs w:val="20"/>
        </w:rPr>
        <w:t>a) Ani sıcaklık değişimine dayanım dereceleri en az 42</w:t>
      </w:r>
      <w:r>
        <w:rPr>
          <w:sz w:val="20"/>
          <w:szCs w:val="20"/>
        </w:rPr>
        <w:t xml:space="preserve">° C olur. </w:t>
      </w:r>
    </w:p>
    <w:p w14:paraId="32E137BC" w14:textId="77777777" w:rsidR="003E4757" w:rsidRDefault="00A40394">
      <w:pPr>
        <w:spacing w:before="48" w:after="48"/>
        <w:ind w:firstLine="851"/>
        <w:rPr>
          <w:rFonts w:ascii="Calibri" w:hAnsi="Calibri"/>
          <w:sz w:val="20"/>
          <w:szCs w:val="20"/>
        </w:rPr>
      </w:pPr>
      <w:r>
        <w:rPr>
          <w:sz w:val="20"/>
          <w:szCs w:val="20"/>
        </w:rPr>
        <w:t xml:space="preserve">b) İç basınç değerleri Tablo-1 'e uygun olur. </w:t>
      </w:r>
    </w:p>
    <w:p w14:paraId="0523FE38" w14:textId="77777777" w:rsidR="003E4757" w:rsidRDefault="00A40394">
      <w:pPr>
        <w:spacing w:before="48" w:after="48"/>
        <w:ind w:firstLine="851"/>
        <w:rPr>
          <w:rFonts w:ascii="Calibri" w:hAnsi="Calibri"/>
          <w:sz w:val="20"/>
          <w:szCs w:val="20"/>
        </w:rPr>
      </w:pPr>
      <w:r>
        <w:rPr>
          <w:sz w:val="20"/>
          <w:szCs w:val="20"/>
        </w:rPr>
        <w:t xml:space="preserve">c) </w:t>
      </w:r>
      <w:r>
        <w:rPr>
          <w:b/>
          <w:sz w:val="20"/>
          <w:szCs w:val="20"/>
        </w:rPr>
        <w:t xml:space="preserve">(Değişik:RG-3/8/2012-28373) </w:t>
      </w:r>
      <w:r>
        <w:rPr>
          <w:sz w:val="20"/>
          <w:szCs w:val="20"/>
        </w:rPr>
        <w:t xml:space="preserve">Gıda ile temas eden cam esaslı malzemelerin içindeki ürüne bağlı olarak meydana gelebilecek basınç dikkate alınarak, dolum sırasında tekniğine uygun tepe boşluğu bırakılır. </w:t>
      </w:r>
    </w:p>
    <w:p w14:paraId="50DC526E" w14:textId="77777777" w:rsidR="003E4757" w:rsidRDefault="003E4757">
      <w:pPr>
        <w:spacing w:before="48" w:after="48"/>
        <w:rPr>
          <w:rFonts w:ascii="Calibri" w:hAnsi="Calibri"/>
          <w:sz w:val="20"/>
          <w:szCs w:val="20"/>
        </w:rPr>
      </w:pPr>
    </w:p>
    <w:p w14:paraId="2F53269F" w14:textId="77777777" w:rsidR="003E4757" w:rsidRDefault="003E4757">
      <w:pPr>
        <w:spacing w:before="48" w:after="48"/>
        <w:rPr>
          <w:rFonts w:ascii="Calibri" w:hAnsi="Calibri"/>
          <w:b/>
          <w:sz w:val="20"/>
          <w:szCs w:val="20"/>
        </w:rPr>
      </w:pPr>
    </w:p>
    <w:p w14:paraId="23FD6161" w14:textId="77777777" w:rsidR="003E4757" w:rsidRDefault="00A40394">
      <w:pPr>
        <w:spacing w:before="48" w:after="48"/>
        <w:rPr>
          <w:rFonts w:ascii="Calibri" w:hAnsi="Calibri"/>
          <w:sz w:val="20"/>
          <w:szCs w:val="20"/>
        </w:rPr>
      </w:pPr>
      <w:r>
        <w:rPr>
          <w:b/>
          <w:sz w:val="20"/>
          <w:szCs w:val="20"/>
        </w:rPr>
        <w:t>Tablo-1:</w:t>
      </w:r>
      <w:r>
        <w:rPr>
          <w:sz w:val="20"/>
          <w:szCs w:val="20"/>
        </w:rPr>
        <w:t xml:space="preserve"> İç Basınç Dayanım Değerleri</w:t>
      </w:r>
    </w:p>
    <w:p w14:paraId="4A8D81E2" w14:textId="77777777" w:rsidR="003E4757" w:rsidRDefault="003E4757">
      <w:pPr>
        <w:spacing w:before="48" w:after="48"/>
        <w:rPr>
          <w:rFonts w:ascii="Calibri" w:hAnsi="Calibri"/>
          <w:sz w:val="20"/>
          <w:szCs w:val="20"/>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49"/>
        <w:gridCol w:w="2791"/>
        <w:gridCol w:w="2822"/>
      </w:tblGrid>
      <w:tr w:rsidR="003E4757" w14:paraId="1F5ABA47" w14:textId="77777777">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BC850F" w14:textId="77777777" w:rsidR="003E4757" w:rsidRDefault="00A40394">
            <w:pPr>
              <w:spacing w:before="48" w:after="48"/>
              <w:rPr>
                <w:rFonts w:ascii="Calibri" w:hAnsi="Calibri"/>
                <w:b/>
                <w:sz w:val="20"/>
                <w:szCs w:val="20"/>
              </w:rPr>
            </w:pPr>
            <w:r>
              <w:rPr>
                <w:b/>
                <w:sz w:val="20"/>
                <w:szCs w:val="20"/>
              </w:rPr>
              <w:t>Cam ambalaj türü/Cam şişe türü</w:t>
            </w:r>
          </w:p>
        </w:tc>
        <w:tc>
          <w:tcPr>
            <w:tcW w:w="56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494EA4" w14:textId="77777777" w:rsidR="003E4757" w:rsidRDefault="00A40394">
            <w:pPr>
              <w:spacing w:before="48" w:after="48"/>
              <w:jc w:val="center"/>
              <w:rPr>
                <w:rFonts w:ascii="Calibri" w:hAnsi="Calibri"/>
                <w:b/>
                <w:sz w:val="20"/>
                <w:szCs w:val="20"/>
              </w:rPr>
            </w:pPr>
            <w:r>
              <w:rPr>
                <w:b/>
                <w:sz w:val="20"/>
                <w:szCs w:val="20"/>
              </w:rPr>
              <w:t xml:space="preserve">İç </w:t>
            </w:r>
            <w:r>
              <w:rPr>
                <w:b/>
                <w:sz w:val="20"/>
                <w:szCs w:val="20"/>
              </w:rPr>
              <w:t>Basınç Dayanımı, en az (kg/cm</w:t>
            </w:r>
            <w:r>
              <w:rPr>
                <w:b/>
                <w:sz w:val="20"/>
                <w:szCs w:val="20"/>
                <w:vertAlign w:val="superscript"/>
              </w:rPr>
              <w:t>2</w:t>
            </w:r>
            <w:r>
              <w:rPr>
                <w:b/>
                <w:sz w:val="20"/>
                <w:szCs w:val="20"/>
              </w:rPr>
              <w:t>)</w:t>
            </w:r>
          </w:p>
        </w:tc>
      </w:tr>
      <w:tr w:rsidR="003E4757" w14:paraId="2076CB0E" w14:textId="77777777">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A90151" w14:textId="77777777" w:rsidR="003E4757" w:rsidRDefault="00A40394">
            <w:pPr>
              <w:spacing w:before="48" w:after="48"/>
              <w:rPr>
                <w:rFonts w:ascii="Calibri" w:hAnsi="Calibri"/>
                <w:sz w:val="20"/>
                <w:szCs w:val="20"/>
              </w:rPr>
            </w:pPr>
            <w:r>
              <w:rPr>
                <w:sz w:val="20"/>
                <w:szCs w:val="20"/>
              </w:rPr>
              <w:t>Bira şişeleri</w:t>
            </w:r>
          </w:p>
        </w:tc>
        <w:tc>
          <w:tcPr>
            <w:tcW w:w="2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A48439" w14:textId="77777777" w:rsidR="003E4757" w:rsidRDefault="00A40394">
            <w:pPr>
              <w:spacing w:before="48" w:after="48"/>
              <w:jc w:val="center"/>
              <w:rPr>
                <w:rFonts w:ascii="Calibri" w:hAnsi="Calibri"/>
                <w:sz w:val="20"/>
                <w:szCs w:val="20"/>
              </w:rPr>
            </w:pPr>
            <w:r>
              <w:rPr>
                <w:sz w:val="20"/>
                <w:szCs w:val="20"/>
              </w:rPr>
              <w:t>12</w:t>
            </w:r>
          </w:p>
          <w:p w14:paraId="5E716C07" w14:textId="77777777" w:rsidR="003E4757" w:rsidRDefault="00A40394">
            <w:pPr>
              <w:spacing w:before="48" w:after="48"/>
              <w:jc w:val="center"/>
              <w:rPr>
                <w:rFonts w:ascii="Calibri" w:hAnsi="Calibri"/>
                <w:sz w:val="20"/>
                <w:szCs w:val="20"/>
              </w:rPr>
            </w:pPr>
            <w:r>
              <w:rPr>
                <w:sz w:val="20"/>
                <w:szCs w:val="20"/>
              </w:rPr>
              <w:t>(tekrarlı kullanımı olan)</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4A22E8" w14:textId="77777777" w:rsidR="003E4757" w:rsidRDefault="00A40394">
            <w:pPr>
              <w:spacing w:before="48" w:after="48"/>
              <w:jc w:val="center"/>
              <w:rPr>
                <w:rFonts w:ascii="Calibri" w:hAnsi="Calibri"/>
                <w:sz w:val="20"/>
                <w:szCs w:val="20"/>
              </w:rPr>
            </w:pPr>
            <w:r>
              <w:rPr>
                <w:sz w:val="20"/>
                <w:szCs w:val="20"/>
              </w:rPr>
              <w:t>10</w:t>
            </w:r>
          </w:p>
          <w:p w14:paraId="7729FA5D" w14:textId="77777777" w:rsidR="003E4757" w:rsidRDefault="00A40394">
            <w:pPr>
              <w:spacing w:before="48" w:after="48"/>
              <w:jc w:val="center"/>
              <w:rPr>
                <w:rFonts w:ascii="Calibri" w:hAnsi="Calibri"/>
                <w:sz w:val="20"/>
                <w:szCs w:val="20"/>
              </w:rPr>
            </w:pPr>
            <w:r>
              <w:rPr>
                <w:sz w:val="20"/>
                <w:szCs w:val="20"/>
              </w:rPr>
              <w:t>(tekrarlı kullanım olmayan)</w:t>
            </w:r>
          </w:p>
        </w:tc>
      </w:tr>
      <w:tr w:rsidR="003E4757" w14:paraId="66495CA4" w14:textId="77777777">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58A8F0" w14:textId="77777777" w:rsidR="003E4757" w:rsidRDefault="00A40394">
            <w:pPr>
              <w:spacing w:before="48" w:after="48"/>
              <w:rPr>
                <w:rFonts w:ascii="Calibri" w:hAnsi="Calibri"/>
                <w:sz w:val="20"/>
                <w:szCs w:val="20"/>
              </w:rPr>
            </w:pPr>
            <w:r>
              <w:rPr>
                <w:sz w:val="20"/>
                <w:szCs w:val="20"/>
              </w:rPr>
              <w:t xml:space="preserve">Meşrubat şişeleri </w:t>
            </w:r>
          </w:p>
        </w:tc>
        <w:tc>
          <w:tcPr>
            <w:tcW w:w="27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55B24A" w14:textId="77777777" w:rsidR="003E4757" w:rsidRDefault="00A40394">
            <w:pPr>
              <w:spacing w:before="48" w:after="48"/>
              <w:jc w:val="center"/>
              <w:rPr>
                <w:rFonts w:ascii="Calibri" w:hAnsi="Calibri"/>
                <w:sz w:val="20"/>
                <w:szCs w:val="20"/>
              </w:rPr>
            </w:pPr>
            <w:r>
              <w:rPr>
                <w:sz w:val="20"/>
                <w:szCs w:val="20"/>
              </w:rPr>
              <w:t>16</w:t>
            </w:r>
          </w:p>
          <w:p w14:paraId="0EA59614" w14:textId="77777777" w:rsidR="003E4757" w:rsidRDefault="00A40394">
            <w:pPr>
              <w:spacing w:before="48" w:after="48"/>
              <w:jc w:val="center"/>
              <w:rPr>
                <w:rFonts w:ascii="Calibri" w:hAnsi="Calibri"/>
                <w:sz w:val="20"/>
                <w:szCs w:val="20"/>
              </w:rPr>
            </w:pPr>
            <w:r>
              <w:rPr>
                <w:sz w:val="20"/>
                <w:szCs w:val="20"/>
              </w:rPr>
              <w:t>(tekrarlı kullanımı olan)</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7B44E7" w14:textId="77777777" w:rsidR="003E4757" w:rsidRDefault="00A40394">
            <w:pPr>
              <w:spacing w:before="48" w:after="48"/>
              <w:jc w:val="center"/>
              <w:rPr>
                <w:rFonts w:ascii="Calibri" w:hAnsi="Calibri"/>
                <w:sz w:val="20"/>
                <w:szCs w:val="20"/>
              </w:rPr>
            </w:pPr>
            <w:r>
              <w:rPr>
                <w:sz w:val="20"/>
                <w:szCs w:val="20"/>
              </w:rPr>
              <w:t>10</w:t>
            </w:r>
          </w:p>
          <w:p w14:paraId="710EF7E7" w14:textId="77777777" w:rsidR="003E4757" w:rsidRDefault="00A40394">
            <w:pPr>
              <w:spacing w:before="48" w:after="48"/>
              <w:jc w:val="center"/>
              <w:rPr>
                <w:rFonts w:ascii="Calibri" w:hAnsi="Calibri"/>
                <w:sz w:val="20"/>
                <w:szCs w:val="20"/>
              </w:rPr>
            </w:pPr>
            <w:r>
              <w:rPr>
                <w:sz w:val="20"/>
                <w:szCs w:val="20"/>
              </w:rPr>
              <w:t>(tekrarlı kullanım olmayan)</w:t>
            </w:r>
          </w:p>
        </w:tc>
      </w:tr>
      <w:tr w:rsidR="003E4757" w14:paraId="7D279DE5" w14:textId="77777777">
        <w:tc>
          <w:tcPr>
            <w:tcW w:w="3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73F165" w14:textId="77777777" w:rsidR="003E4757" w:rsidRDefault="00A40394">
            <w:pPr>
              <w:spacing w:before="48" w:after="48"/>
              <w:rPr>
                <w:rFonts w:ascii="Calibri" w:hAnsi="Calibri"/>
                <w:sz w:val="20"/>
                <w:szCs w:val="20"/>
              </w:rPr>
            </w:pPr>
            <w:r>
              <w:rPr>
                <w:sz w:val="20"/>
                <w:szCs w:val="20"/>
              </w:rPr>
              <w:t xml:space="preserve">Doğal mineralli su, meyve suyu şişeleri </w:t>
            </w:r>
          </w:p>
        </w:tc>
        <w:tc>
          <w:tcPr>
            <w:tcW w:w="56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008629" w14:textId="77777777" w:rsidR="003E4757" w:rsidRDefault="00A40394">
            <w:pPr>
              <w:spacing w:before="48" w:after="48"/>
              <w:jc w:val="center"/>
              <w:rPr>
                <w:rFonts w:ascii="Calibri" w:hAnsi="Calibri"/>
                <w:sz w:val="20"/>
                <w:szCs w:val="20"/>
              </w:rPr>
            </w:pPr>
            <w:r>
              <w:rPr>
                <w:sz w:val="20"/>
                <w:szCs w:val="20"/>
              </w:rPr>
              <w:t>10</w:t>
            </w:r>
          </w:p>
        </w:tc>
      </w:tr>
    </w:tbl>
    <w:p w14:paraId="73E15393" w14:textId="77777777" w:rsidR="003E4757" w:rsidRDefault="00A40394">
      <w:pPr>
        <w:spacing w:before="48" w:after="48"/>
        <w:rPr>
          <w:rFonts w:ascii="Calibri" w:hAnsi="Calibri"/>
          <w:sz w:val="20"/>
          <w:szCs w:val="20"/>
        </w:rPr>
      </w:pPr>
      <w:r>
        <w:br w:type="page"/>
      </w:r>
    </w:p>
    <w:p w14:paraId="26501222" w14:textId="77777777" w:rsidR="003E4757" w:rsidRDefault="00A40394">
      <w:pPr>
        <w:spacing w:before="48" w:after="48"/>
        <w:jc w:val="right"/>
        <w:rPr>
          <w:rFonts w:ascii="Calibri" w:hAnsi="Calibri"/>
          <w:b/>
          <w:sz w:val="20"/>
          <w:szCs w:val="20"/>
        </w:rPr>
      </w:pPr>
      <w:r>
        <w:rPr>
          <w:b/>
          <w:sz w:val="20"/>
          <w:szCs w:val="20"/>
        </w:rPr>
        <w:t>EK-5</w:t>
      </w:r>
    </w:p>
    <w:p w14:paraId="68D47332" w14:textId="77777777" w:rsidR="003E4757" w:rsidRDefault="003E4757">
      <w:pPr>
        <w:spacing w:before="48" w:after="48"/>
        <w:jc w:val="center"/>
        <w:rPr>
          <w:rFonts w:ascii="Calibri" w:hAnsi="Calibri"/>
          <w:b/>
          <w:sz w:val="20"/>
          <w:szCs w:val="20"/>
        </w:rPr>
      </w:pPr>
    </w:p>
    <w:p w14:paraId="395444FE" w14:textId="77777777" w:rsidR="003E4757" w:rsidRDefault="00A40394">
      <w:pPr>
        <w:spacing w:before="48" w:after="48"/>
        <w:jc w:val="center"/>
        <w:rPr>
          <w:rFonts w:ascii="Calibri" w:hAnsi="Calibri"/>
          <w:b/>
          <w:sz w:val="20"/>
          <w:szCs w:val="20"/>
        </w:rPr>
      </w:pPr>
      <w:r>
        <w:rPr>
          <w:b/>
          <w:sz w:val="20"/>
          <w:szCs w:val="20"/>
        </w:rPr>
        <w:t>Gıda ile Temas Eden Plastik Madde ve Malzemelerde Kullanılacak Boyar Maddeler</w:t>
      </w:r>
    </w:p>
    <w:p w14:paraId="70E79977" w14:textId="77777777" w:rsidR="003E4757" w:rsidRDefault="003E4757">
      <w:pPr>
        <w:spacing w:before="48" w:after="48"/>
        <w:jc w:val="center"/>
        <w:rPr>
          <w:rFonts w:ascii="Calibri" w:hAnsi="Calibri"/>
          <w:b/>
          <w:sz w:val="20"/>
          <w:szCs w:val="20"/>
        </w:rPr>
      </w:pPr>
    </w:p>
    <w:p w14:paraId="7FF75839" w14:textId="77777777" w:rsidR="003E4757" w:rsidRDefault="00A40394">
      <w:pPr>
        <w:spacing w:before="48" w:after="48"/>
        <w:ind w:firstLine="851"/>
        <w:rPr>
          <w:rFonts w:ascii="Calibri" w:hAnsi="Calibri"/>
          <w:sz w:val="20"/>
          <w:szCs w:val="20"/>
        </w:rPr>
      </w:pPr>
      <w:r>
        <w:rPr>
          <w:sz w:val="20"/>
          <w:szCs w:val="20"/>
        </w:rPr>
        <w:t xml:space="preserve">(1) Gıda ile temas eden plastiklerde kullanılan boyar maddeler gıdaya geçmeyecek ve toksik madde içermeyecek şekilde olur. </w:t>
      </w:r>
    </w:p>
    <w:p w14:paraId="4F00756C" w14:textId="77777777" w:rsidR="003E4757" w:rsidRDefault="00A40394">
      <w:pPr>
        <w:spacing w:before="48" w:after="48"/>
        <w:ind w:firstLine="851"/>
        <w:rPr>
          <w:rFonts w:ascii="Calibri" w:hAnsi="Calibri"/>
          <w:sz w:val="20"/>
          <w:szCs w:val="20"/>
        </w:rPr>
      </w:pPr>
      <w:r>
        <w:rPr>
          <w:sz w:val="20"/>
          <w:szCs w:val="20"/>
        </w:rPr>
        <w:t xml:space="preserve">(2) Boyar maddeler yüksek saflık gösterir ve aşağıdaki esaslara uygun olur. </w:t>
      </w:r>
    </w:p>
    <w:p w14:paraId="5FA58DAB" w14:textId="77777777" w:rsidR="003E4757" w:rsidRDefault="00A40394">
      <w:pPr>
        <w:spacing w:before="48" w:after="48"/>
        <w:ind w:firstLine="851"/>
        <w:rPr>
          <w:rFonts w:ascii="Calibri" w:hAnsi="Calibri"/>
          <w:sz w:val="20"/>
          <w:szCs w:val="20"/>
        </w:rPr>
      </w:pPr>
      <w:r>
        <w:rPr>
          <w:sz w:val="20"/>
          <w:szCs w:val="20"/>
        </w:rPr>
        <w:t>a) Boyar maddenin içinde bulunan metal ve metaloidlerin</w:t>
      </w:r>
      <w:r>
        <w:rPr>
          <w:sz w:val="20"/>
          <w:szCs w:val="20"/>
        </w:rPr>
        <w:t xml:space="preserve"> 0,1 M HCI'de çözünen miktarı Tablo-1’e uygun olur. </w:t>
      </w:r>
    </w:p>
    <w:p w14:paraId="6D38C65D" w14:textId="77777777" w:rsidR="003E4757" w:rsidRDefault="003E4757">
      <w:pPr>
        <w:spacing w:before="48" w:after="48"/>
        <w:rPr>
          <w:rFonts w:ascii="Calibri" w:hAnsi="Calibri"/>
          <w:sz w:val="20"/>
          <w:szCs w:val="20"/>
        </w:rPr>
      </w:pPr>
    </w:p>
    <w:p w14:paraId="361ED78B" w14:textId="77777777" w:rsidR="003E4757" w:rsidRDefault="00A40394">
      <w:pPr>
        <w:spacing w:before="48" w:after="48"/>
        <w:jc w:val="center"/>
        <w:rPr>
          <w:rFonts w:ascii="Calibri" w:hAnsi="Calibri"/>
          <w:sz w:val="20"/>
          <w:szCs w:val="20"/>
        </w:rPr>
      </w:pPr>
      <w:r>
        <w:rPr>
          <w:b/>
          <w:sz w:val="20"/>
          <w:szCs w:val="20"/>
        </w:rPr>
        <w:t>Tablo-l:</w:t>
      </w:r>
      <w:r>
        <w:rPr>
          <w:sz w:val="20"/>
          <w:szCs w:val="20"/>
        </w:rPr>
        <w:t xml:space="preserve"> Boyar maddelerin metal ve metaloid miktarı</w:t>
      </w:r>
    </w:p>
    <w:p w14:paraId="583FCFC7" w14:textId="77777777" w:rsidR="003E4757" w:rsidRDefault="003E4757">
      <w:pPr>
        <w:spacing w:before="48" w:after="48"/>
        <w:jc w:val="center"/>
        <w:rPr>
          <w:rFonts w:ascii="Calibri" w:hAnsi="Calibri"/>
          <w:sz w:val="20"/>
          <w:szCs w:val="20"/>
        </w:rPr>
      </w:pPr>
    </w:p>
    <w:tbl>
      <w:tblPr>
        <w:tblW w:w="30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53"/>
        <w:gridCol w:w="1485"/>
      </w:tblGrid>
      <w:tr w:rsidR="003E4757" w14:paraId="7A3C4BB7" w14:textId="77777777">
        <w:trPr>
          <w:jc w:val="center"/>
        </w:trPr>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12EECB" w14:textId="77777777" w:rsidR="003E4757" w:rsidRDefault="00A40394">
            <w:pPr>
              <w:spacing w:before="48" w:after="48"/>
              <w:rPr>
                <w:rFonts w:ascii="Calibri" w:hAnsi="Calibri"/>
                <w:b/>
                <w:sz w:val="20"/>
                <w:szCs w:val="20"/>
              </w:rPr>
            </w:pPr>
            <w:r>
              <w:rPr>
                <w:b/>
                <w:sz w:val="20"/>
                <w:szCs w:val="20"/>
              </w:rPr>
              <w:t>Metal/Metaloid</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5FB1FF" w14:textId="77777777" w:rsidR="003E4757" w:rsidRDefault="00A40394">
            <w:pPr>
              <w:spacing w:before="48" w:after="48"/>
              <w:rPr>
                <w:rFonts w:ascii="Calibri" w:hAnsi="Calibri"/>
                <w:b/>
                <w:sz w:val="20"/>
                <w:szCs w:val="20"/>
              </w:rPr>
            </w:pPr>
            <w:r>
              <w:rPr>
                <w:b/>
                <w:sz w:val="20"/>
                <w:szCs w:val="20"/>
              </w:rPr>
              <w:t>Miktar (en çok)</w:t>
            </w:r>
          </w:p>
        </w:tc>
      </w:tr>
      <w:tr w:rsidR="003E4757" w14:paraId="184CFEE0" w14:textId="77777777">
        <w:trPr>
          <w:jc w:val="center"/>
        </w:trPr>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31A1A4" w14:textId="77777777" w:rsidR="003E4757" w:rsidRDefault="00A40394">
            <w:pPr>
              <w:spacing w:before="48" w:after="48"/>
              <w:rPr>
                <w:rFonts w:ascii="Calibri" w:hAnsi="Calibri"/>
                <w:sz w:val="20"/>
                <w:szCs w:val="20"/>
              </w:rPr>
            </w:pPr>
            <w:r>
              <w:rPr>
                <w:sz w:val="20"/>
                <w:szCs w:val="20"/>
              </w:rPr>
              <w:t>Kurşun</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12FBA6" w14:textId="77777777" w:rsidR="003E4757" w:rsidRDefault="00A40394">
            <w:pPr>
              <w:spacing w:before="48" w:after="48"/>
              <w:rPr>
                <w:rFonts w:ascii="Calibri" w:hAnsi="Calibri"/>
                <w:sz w:val="20"/>
                <w:szCs w:val="20"/>
              </w:rPr>
            </w:pPr>
            <w:r>
              <w:rPr>
                <w:sz w:val="20"/>
                <w:szCs w:val="20"/>
              </w:rPr>
              <w:t>% 0,01</w:t>
            </w:r>
          </w:p>
        </w:tc>
      </w:tr>
      <w:tr w:rsidR="003E4757" w14:paraId="07C48C21" w14:textId="77777777">
        <w:trPr>
          <w:jc w:val="center"/>
        </w:trPr>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DA9C9B" w14:textId="77777777" w:rsidR="003E4757" w:rsidRDefault="00A40394">
            <w:pPr>
              <w:spacing w:before="48" w:after="48"/>
              <w:rPr>
                <w:rFonts w:ascii="Calibri" w:hAnsi="Calibri"/>
                <w:sz w:val="20"/>
                <w:szCs w:val="20"/>
              </w:rPr>
            </w:pPr>
            <w:r>
              <w:rPr>
                <w:sz w:val="20"/>
                <w:szCs w:val="20"/>
              </w:rPr>
              <w:t>Arsenik</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B6E037" w14:textId="77777777" w:rsidR="003E4757" w:rsidRDefault="00A40394">
            <w:pPr>
              <w:spacing w:before="48" w:after="48"/>
              <w:rPr>
                <w:rFonts w:ascii="Calibri" w:hAnsi="Calibri"/>
                <w:sz w:val="20"/>
                <w:szCs w:val="20"/>
              </w:rPr>
            </w:pPr>
            <w:r>
              <w:rPr>
                <w:sz w:val="20"/>
                <w:szCs w:val="20"/>
              </w:rPr>
              <w:t>% 0,01</w:t>
            </w:r>
          </w:p>
        </w:tc>
      </w:tr>
      <w:tr w:rsidR="003E4757" w14:paraId="127E89A8" w14:textId="77777777">
        <w:trPr>
          <w:jc w:val="center"/>
        </w:trPr>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4081EB" w14:textId="77777777" w:rsidR="003E4757" w:rsidRDefault="00A40394">
            <w:pPr>
              <w:spacing w:before="48" w:after="48"/>
              <w:rPr>
                <w:rFonts w:ascii="Calibri" w:hAnsi="Calibri"/>
                <w:sz w:val="20"/>
                <w:szCs w:val="20"/>
              </w:rPr>
            </w:pPr>
            <w:r>
              <w:rPr>
                <w:sz w:val="20"/>
                <w:szCs w:val="20"/>
              </w:rPr>
              <w:t>Krom</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C4C321" w14:textId="77777777" w:rsidR="003E4757" w:rsidRDefault="00A40394">
            <w:pPr>
              <w:spacing w:before="48" w:after="48"/>
              <w:rPr>
                <w:rFonts w:ascii="Calibri" w:hAnsi="Calibri"/>
                <w:sz w:val="20"/>
                <w:szCs w:val="20"/>
              </w:rPr>
            </w:pPr>
            <w:r>
              <w:rPr>
                <w:sz w:val="20"/>
                <w:szCs w:val="20"/>
              </w:rPr>
              <w:t>% 0,1</w:t>
            </w:r>
          </w:p>
        </w:tc>
      </w:tr>
      <w:tr w:rsidR="003E4757" w14:paraId="726EC59C" w14:textId="77777777">
        <w:trPr>
          <w:jc w:val="center"/>
        </w:trPr>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739C25" w14:textId="77777777" w:rsidR="003E4757" w:rsidRDefault="00A40394">
            <w:pPr>
              <w:spacing w:before="48" w:after="48"/>
              <w:rPr>
                <w:rFonts w:ascii="Calibri" w:hAnsi="Calibri"/>
                <w:sz w:val="20"/>
                <w:szCs w:val="20"/>
              </w:rPr>
            </w:pPr>
            <w:r>
              <w:rPr>
                <w:sz w:val="20"/>
                <w:szCs w:val="20"/>
              </w:rPr>
              <w:t>Antimon</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39EE11" w14:textId="77777777" w:rsidR="003E4757" w:rsidRDefault="00A40394">
            <w:pPr>
              <w:spacing w:before="48" w:after="48"/>
              <w:rPr>
                <w:rFonts w:ascii="Calibri" w:hAnsi="Calibri"/>
                <w:sz w:val="20"/>
                <w:szCs w:val="20"/>
              </w:rPr>
            </w:pPr>
            <w:r>
              <w:rPr>
                <w:sz w:val="20"/>
                <w:szCs w:val="20"/>
              </w:rPr>
              <w:t>% 0,05</w:t>
            </w:r>
          </w:p>
        </w:tc>
      </w:tr>
      <w:tr w:rsidR="003E4757" w14:paraId="5B67DAEC" w14:textId="77777777">
        <w:trPr>
          <w:jc w:val="center"/>
        </w:trPr>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FDDCC" w14:textId="77777777" w:rsidR="003E4757" w:rsidRDefault="00A40394">
            <w:pPr>
              <w:spacing w:before="48" w:after="48"/>
              <w:rPr>
                <w:rFonts w:ascii="Calibri" w:hAnsi="Calibri"/>
                <w:sz w:val="20"/>
                <w:szCs w:val="20"/>
              </w:rPr>
            </w:pPr>
            <w:r>
              <w:rPr>
                <w:sz w:val="20"/>
                <w:szCs w:val="20"/>
              </w:rPr>
              <w:t>Civa</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0C92C7" w14:textId="77777777" w:rsidR="003E4757" w:rsidRDefault="00A40394">
            <w:pPr>
              <w:spacing w:before="48" w:after="48"/>
              <w:rPr>
                <w:rFonts w:ascii="Calibri" w:hAnsi="Calibri"/>
                <w:sz w:val="20"/>
                <w:szCs w:val="20"/>
              </w:rPr>
            </w:pPr>
            <w:r>
              <w:rPr>
                <w:sz w:val="20"/>
                <w:szCs w:val="20"/>
              </w:rPr>
              <w:t>% 0,005</w:t>
            </w:r>
          </w:p>
        </w:tc>
      </w:tr>
      <w:tr w:rsidR="003E4757" w14:paraId="0B6F019B" w14:textId="77777777">
        <w:trPr>
          <w:jc w:val="center"/>
        </w:trPr>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4668AD" w14:textId="77777777" w:rsidR="003E4757" w:rsidRDefault="00A40394">
            <w:pPr>
              <w:spacing w:before="48" w:after="48"/>
              <w:rPr>
                <w:rFonts w:ascii="Calibri" w:hAnsi="Calibri"/>
                <w:sz w:val="20"/>
                <w:szCs w:val="20"/>
              </w:rPr>
            </w:pPr>
            <w:r>
              <w:rPr>
                <w:sz w:val="20"/>
                <w:szCs w:val="20"/>
              </w:rPr>
              <w:t>Kadmiyum</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2A7FA0" w14:textId="77777777" w:rsidR="003E4757" w:rsidRDefault="00A40394">
            <w:pPr>
              <w:spacing w:before="48" w:after="48"/>
              <w:rPr>
                <w:rFonts w:ascii="Calibri" w:hAnsi="Calibri"/>
                <w:sz w:val="20"/>
                <w:szCs w:val="20"/>
              </w:rPr>
            </w:pPr>
            <w:r>
              <w:rPr>
                <w:sz w:val="20"/>
                <w:szCs w:val="20"/>
              </w:rPr>
              <w:t>% 0,01</w:t>
            </w:r>
          </w:p>
        </w:tc>
      </w:tr>
      <w:tr w:rsidR="003E4757" w14:paraId="36328338" w14:textId="77777777">
        <w:trPr>
          <w:jc w:val="center"/>
        </w:trPr>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9D610A" w14:textId="77777777" w:rsidR="003E4757" w:rsidRDefault="00A40394">
            <w:pPr>
              <w:spacing w:before="48" w:after="48"/>
              <w:rPr>
                <w:rFonts w:ascii="Calibri" w:hAnsi="Calibri"/>
                <w:sz w:val="20"/>
                <w:szCs w:val="20"/>
              </w:rPr>
            </w:pPr>
            <w:r>
              <w:rPr>
                <w:sz w:val="20"/>
                <w:szCs w:val="20"/>
              </w:rPr>
              <w:t>Selenyum</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A08C47" w14:textId="77777777" w:rsidR="003E4757" w:rsidRDefault="00A40394">
            <w:pPr>
              <w:spacing w:before="48" w:after="48"/>
              <w:rPr>
                <w:rFonts w:ascii="Calibri" w:hAnsi="Calibri"/>
                <w:sz w:val="20"/>
                <w:szCs w:val="20"/>
              </w:rPr>
            </w:pPr>
            <w:r>
              <w:rPr>
                <w:sz w:val="20"/>
                <w:szCs w:val="20"/>
              </w:rPr>
              <w:t>% 0,01</w:t>
            </w:r>
          </w:p>
        </w:tc>
      </w:tr>
      <w:tr w:rsidR="003E4757" w14:paraId="36B44015" w14:textId="77777777">
        <w:trPr>
          <w:jc w:val="center"/>
        </w:trPr>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E0C5E6" w14:textId="77777777" w:rsidR="003E4757" w:rsidRDefault="00A40394">
            <w:pPr>
              <w:spacing w:before="48" w:after="48"/>
              <w:rPr>
                <w:rFonts w:ascii="Calibri" w:hAnsi="Calibri"/>
                <w:sz w:val="20"/>
                <w:szCs w:val="20"/>
              </w:rPr>
            </w:pPr>
            <w:r>
              <w:rPr>
                <w:sz w:val="20"/>
                <w:szCs w:val="20"/>
              </w:rPr>
              <w:t>Baryum</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14D821" w14:textId="77777777" w:rsidR="003E4757" w:rsidRDefault="00A40394">
            <w:pPr>
              <w:spacing w:before="48" w:after="48"/>
              <w:rPr>
                <w:rFonts w:ascii="Calibri" w:hAnsi="Calibri"/>
                <w:sz w:val="20"/>
                <w:szCs w:val="20"/>
              </w:rPr>
            </w:pPr>
            <w:r>
              <w:rPr>
                <w:sz w:val="20"/>
                <w:szCs w:val="20"/>
              </w:rPr>
              <w:t>% 0,01</w:t>
            </w:r>
          </w:p>
        </w:tc>
      </w:tr>
    </w:tbl>
    <w:p w14:paraId="3C0B3428" w14:textId="77777777" w:rsidR="003E4757" w:rsidRDefault="003E4757">
      <w:pPr>
        <w:spacing w:before="48" w:after="48"/>
        <w:jc w:val="center"/>
        <w:rPr>
          <w:rFonts w:ascii="Calibri" w:hAnsi="Calibri"/>
          <w:sz w:val="20"/>
          <w:szCs w:val="20"/>
        </w:rPr>
      </w:pPr>
    </w:p>
    <w:p w14:paraId="14DCA3CC" w14:textId="77777777" w:rsidR="003E4757" w:rsidRDefault="00A40394">
      <w:pPr>
        <w:spacing w:before="48" w:after="48"/>
        <w:ind w:firstLine="851"/>
        <w:rPr>
          <w:rFonts w:ascii="Calibri" w:hAnsi="Calibri"/>
          <w:sz w:val="20"/>
          <w:szCs w:val="20"/>
        </w:rPr>
      </w:pPr>
      <w:r>
        <w:rPr>
          <w:sz w:val="20"/>
          <w:szCs w:val="20"/>
        </w:rPr>
        <w:t xml:space="preserve">b) 1 M HCI’de çözünen ve anilin cinsinden hesaplanan boyar maddedeki sülfonlanmamış primer aromatik amin miktarı 500 mg/kg’ı aşamaz. Benzidin, betanaftilamin ve 4-aminobifenilin her biri ya da bunların toplamı 10 mg/kg’ı geçemez. </w:t>
      </w:r>
    </w:p>
    <w:p w14:paraId="6F84849A" w14:textId="77777777" w:rsidR="003E4757" w:rsidRDefault="00A40394">
      <w:pPr>
        <w:spacing w:before="48" w:after="48"/>
        <w:ind w:firstLine="851"/>
        <w:rPr>
          <w:rFonts w:ascii="Calibri" w:hAnsi="Calibri"/>
          <w:sz w:val="20"/>
          <w:szCs w:val="20"/>
        </w:rPr>
      </w:pPr>
      <w:r>
        <w:rPr>
          <w:sz w:val="20"/>
          <w:szCs w:val="20"/>
        </w:rPr>
        <w:t>c) Anilin</w:t>
      </w:r>
      <w:r>
        <w:rPr>
          <w:sz w:val="20"/>
          <w:szCs w:val="20"/>
        </w:rPr>
        <w:t xml:space="preserve"> sülfonik asit cinsinden hesaplanan boyar maddedeki toplam sülfonlanmış aromatik amin miktarı 500 mg/kg'ı geçemez. </w:t>
      </w:r>
    </w:p>
    <w:p w14:paraId="49DFEA53" w14:textId="77777777" w:rsidR="003E4757" w:rsidRDefault="00A40394">
      <w:pPr>
        <w:spacing w:before="48" w:after="48"/>
        <w:ind w:firstLine="851"/>
        <w:rPr>
          <w:rFonts w:ascii="Calibri" w:hAnsi="Calibri"/>
          <w:sz w:val="20"/>
          <w:szCs w:val="20"/>
        </w:rPr>
      </w:pPr>
      <w:r>
        <w:rPr>
          <w:sz w:val="20"/>
          <w:szCs w:val="20"/>
        </w:rPr>
        <w:t xml:space="preserve">ç) Karbon siyahının toluen ekstraktı en çok % 0,15 olur. </w:t>
      </w:r>
    </w:p>
    <w:p w14:paraId="2E2D5F06" w14:textId="77777777" w:rsidR="003E4757" w:rsidRDefault="00A40394">
      <w:pPr>
        <w:spacing w:before="48" w:after="48"/>
        <w:ind w:firstLine="851"/>
        <w:rPr>
          <w:rFonts w:ascii="Calibri" w:hAnsi="Calibri"/>
          <w:sz w:val="20"/>
          <w:szCs w:val="20"/>
        </w:rPr>
      </w:pPr>
      <w:r>
        <w:rPr>
          <w:sz w:val="20"/>
          <w:szCs w:val="20"/>
        </w:rPr>
        <w:t>d) Dekaklorobifenil cinsinden hesaplanan ekstrakte edilebilen fenillerin miktarı 2</w:t>
      </w:r>
      <w:r>
        <w:rPr>
          <w:sz w:val="20"/>
          <w:szCs w:val="20"/>
        </w:rPr>
        <w:t xml:space="preserve">5 mg/kg'l geçemez. </w:t>
      </w:r>
    </w:p>
    <w:p w14:paraId="1DA34019" w14:textId="77777777" w:rsidR="003E4757" w:rsidRDefault="003E4757">
      <w:pPr>
        <w:spacing w:beforeAutospacing="1" w:afterAutospacing="1" w:line="240" w:lineRule="auto"/>
        <w:ind w:firstLine="567"/>
        <w:jc w:val="both"/>
        <w:rPr>
          <w:rFonts w:ascii="Times New Roman" w:eastAsia="Times New Roman" w:hAnsi="Times New Roman" w:cs="Times New Roman"/>
          <w:sz w:val="24"/>
          <w:szCs w:val="24"/>
          <w:lang w:eastAsia="tr-TR"/>
        </w:rPr>
      </w:pPr>
    </w:p>
    <w:p w14:paraId="1ADECD89" w14:textId="77777777" w:rsidR="003E4757" w:rsidRDefault="003E4757"/>
    <w:sectPr w:rsidR="003E4757">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charset w:val="80"/>
    <w:family w:val="roman"/>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757"/>
    <w:rsid w:val="003E4757"/>
    <w:rsid w:val="00A4039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5B39"/>
  <w15:docId w15:val="{0E30B13B-B46B-4ACA-BA9A-5D17A26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paragraph" w:styleId="Balk1">
    <w:name w:val="heading 1"/>
    <w:basedOn w:val="Balk"/>
    <w:pPr>
      <w:outlineLvl w:val="0"/>
    </w:p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MetinGvdesi"/>
    <w:qFormat/>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ascii="Times New Roman" w:hAnsi="Times New Roman" w:cs="Mangal"/>
    </w:rPr>
  </w:style>
  <w:style w:type="paragraph" w:styleId="ResimYazs">
    <w:name w:val="caption"/>
    <w:basedOn w:val="Normal"/>
    <w:pPr>
      <w:suppressLineNumbers/>
      <w:spacing w:before="120" w:after="120"/>
    </w:pPr>
    <w:rPr>
      <w:rFonts w:ascii="Times New Roman" w:hAnsi="Times New Roman" w:cs="Mangal"/>
      <w:i/>
      <w:iCs/>
      <w:sz w:val="20"/>
      <w:szCs w:val="24"/>
    </w:rPr>
  </w:style>
  <w:style w:type="paragraph" w:customStyle="1" w:styleId="Dizin">
    <w:name w:val="Dizin"/>
    <w:basedOn w:val="Normal"/>
    <w:qFormat/>
    <w:pPr>
      <w:suppressLineNumbers/>
    </w:pPr>
    <w:rPr>
      <w:rFonts w:ascii="Times New Roman" w:hAnsi="Times New Roman" w:cs="Mangal"/>
    </w:rPr>
  </w:style>
  <w:style w:type="paragraph" w:customStyle="1" w:styleId="2-OrtaBaslk">
    <w:name w:val="2-Orta Baslık"/>
    <w:qFormat/>
    <w:rsid w:val="00A732C8"/>
    <w:pPr>
      <w:suppressAutoHyphens/>
      <w:spacing w:line="240" w:lineRule="auto"/>
      <w:jc w:val="center"/>
    </w:pPr>
    <w:rPr>
      <w:rFonts w:ascii="Times New Roman" w:eastAsia="ヒラギノ明朝 Pro W3" w:hAnsi="Times New Roman" w:cs="Times New Roman"/>
      <w:b/>
      <w:sz w:val="19"/>
      <w:szCs w:val="20"/>
    </w:rPr>
  </w:style>
  <w:style w:type="paragraph" w:customStyle="1" w:styleId="3-NormalYaz">
    <w:name w:val="3-Normal Yazı"/>
    <w:qFormat/>
    <w:rsid w:val="00A732C8"/>
    <w:pPr>
      <w:tabs>
        <w:tab w:val="left" w:pos="566"/>
      </w:tabs>
      <w:suppressAutoHyphens/>
      <w:spacing w:line="240" w:lineRule="auto"/>
      <w:jc w:val="both"/>
    </w:pPr>
    <w:rPr>
      <w:rFonts w:ascii="Times New Roman" w:eastAsia="ヒラギノ明朝 Pro W3" w:hAnsi="Times New Roman" w:cs="Times New Roman"/>
      <w:sz w:val="19"/>
      <w:szCs w:val="20"/>
    </w:rPr>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2915</Words>
  <Characters>16621</Characters>
  <Application>Microsoft Office Word</Application>
  <DocSecurity>0</DocSecurity>
  <Lines>138</Lines>
  <Paragraphs>38</Paragraphs>
  <ScaleCrop>false</ScaleCrop>
  <Company>SilentAll Team</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Ambar Yunus</dc:creator>
  <cp:lastModifiedBy>sıla akbulut</cp:lastModifiedBy>
  <cp:revision>2</cp:revision>
  <cp:lastPrinted>2017-02-24T16:35:00Z</cp:lastPrinted>
  <dcterms:created xsi:type="dcterms:W3CDTF">2021-02-16T17:58:00Z</dcterms:created>
  <dcterms:modified xsi:type="dcterms:W3CDTF">2021-02-16T17:58:00Z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SilentAll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