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A07F" w14:textId="77777777" w:rsidR="00AA49EE" w:rsidRPr="00AA49EE" w:rsidRDefault="00AA49EE" w:rsidP="00AA49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TÜRK GIDA KODEKSİ ENERJİ İÇECEKLERİ TEBLİĞİ</w:t>
      </w:r>
    </w:p>
    <w:p w14:paraId="44C22318" w14:textId="77777777" w:rsidR="00AA49EE" w:rsidRPr="00AA49EE" w:rsidRDefault="00AA49EE" w:rsidP="00AA49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(TEBLİĞ NO: 2006/47)</w:t>
      </w:r>
    </w:p>
    <w:p w14:paraId="66C92C67" w14:textId="77777777" w:rsidR="00AA49EE" w:rsidRPr="00AA49EE" w:rsidRDefault="00AA49EE" w:rsidP="00AA49E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4EB95FB5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Amaç</w:t>
      </w:r>
    </w:p>
    <w:p w14:paraId="389978FF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1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Tebliğin amacı, enerji içeceklerinin tekniğine uygun ve hijyenik şekilde üretim, hazırlama, işleme, muhafaza, depolama, taşıma ve pazarlamasını sağlamak üzere bu ürünlerin özelliklerini belirlemektir.</w:t>
      </w:r>
    </w:p>
    <w:p w14:paraId="72C3AB18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Kapsam</w:t>
      </w:r>
    </w:p>
    <w:p w14:paraId="5787BD77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2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sıvı ve toz formdaki enerji içeceklerini kapsar, sporcu içeceklerini kapsamaz.</w:t>
      </w:r>
    </w:p>
    <w:p w14:paraId="0D7C60EA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Hukuki dayanak</w:t>
      </w:r>
    </w:p>
    <w:p w14:paraId="779EACF3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3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</w:t>
      </w:r>
      <w:r w:rsidRPr="00AA49EE">
        <w:rPr>
          <w:rFonts w:ascii="Times New Roman" w:eastAsia="Times New Roman" w:hAnsi="Times New Roman" w:cs="Times New Roman"/>
          <w:spacing w:val="5"/>
          <w:sz w:val="20"/>
          <w:szCs w:val="20"/>
          <w:lang w:eastAsia="tr-TR"/>
        </w:rPr>
        <w:t xml:space="preserve">1) Bu Tebliğ, 16/11/1997 tarihli ve 23172 mükerrer sayılı Resmî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Gazete’de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yayımlanan "Türk Gıda Kodeksi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Yönetmeliği"ne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göre hazırlanmıştır.</w:t>
      </w:r>
    </w:p>
    <w:p w14:paraId="1D5DCC1B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Tanımlar</w:t>
      </w:r>
    </w:p>
    <w:p w14:paraId="326BFBF4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4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Tebliğde geçen;</w:t>
      </w:r>
    </w:p>
    <w:p w14:paraId="73AD98CD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spacing w:val="5"/>
          <w:sz w:val="20"/>
          <w:szCs w:val="20"/>
          <w:lang w:eastAsia="tr-TR"/>
        </w:rPr>
        <w:t xml:space="preserve">Enerji içeceği: Bileşimindeki yararlanılabilir karbonhidrat içeriği nedeniyle insan 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vücuduna enerji sağlayan ve ürün özelliklerinde limitleri belirlenen fonksiyonel maddeleri, vitamin ve mineralleri de içerebilen içecekleri ifade eder.</w:t>
      </w:r>
    </w:p>
    <w:p w14:paraId="65CBF684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Ürün özellikleri</w:t>
      </w:r>
    </w:p>
    <w:p w14:paraId="5CBD2481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5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ürünlerin özellikleri aşağıda verilmiştir:</w:t>
      </w:r>
    </w:p>
    <w:p w14:paraId="5F2E610C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a) Enerji içeceklerinin karbonhidratlardan sağlanan enerji değeri 100 ml’de 45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kcal’den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az olmamalıdır.</w:t>
      </w:r>
    </w:p>
    <w:p w14:paraId="114DF0B0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 b) Enerji içecekleri özel beslenme amaçlı gıdalar kapsamında değerlendirilmez.</w:t>
      </w:r>
    </w:p>
    <w:p w14:paraId="761755EB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 c) Bu Tebliğ kapsamında yer alan ürünlerin kafein miktarı 150 mg/L’den fazla olmamalıdır.</w:t>
      </w:r>
    </w:p>
    <w:p w14:paraId="78480B3C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 ç) Bu Tebliğ kapsamında yer alan ürünlerin bileşiminde;</w:t>
      </w:r>
    </w:p>
    <w:p w14:paraId="7EE3E82A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          -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İnositol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                             100 mg/L</w:t>
      </w:r>
    </w:p>
    <w:p w14:paraId="084E9EB4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          -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Glukoronolakton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               20 mg/L</w:t>
      </w:r>
    </w:p>
    <w:p w14:paraId="4B2B1437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          -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Taurin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                               800 mg/L</w:t>
      </w:r>
    </w:p>
    <w:p w14:paraId="4EB35DFE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proofErr w:type="gram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den</w:t>
      </w:r>
      <w:proofErr w:type="gram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fazla olmamalıdır. </w:t>
      </w:r>
    </w:p>
    <w:p w14:paraId="5229B536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d) Alkol miktarı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hacmen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% 0,05 den fazla olmamalıdır. </w:t>
      </w:r>
    </w:p>
    <w:p w14:paraId="2519AD96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 e) Enerji değeri azaltılmış ürünlerde (a) bendinde yer alan hüküm uygulanmaz.</w:t>
      </w:r>
    </w:p>
    <w:p w14:paraId="65252C94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Ambalajlama, etiketleme ve işaretleme </w:t>
      </w:r>
    </w:p>
    <w:p w14:paraId="5E2C28D8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lastRenderedPageBreak/>
        <w:t>                MADDE 6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Türk Gıda Kodeksi Yönetmeliğinin Etiketleme bölümüne ilaveten;</w:t>
      </w:r>
    </w:p>
    <w:p w14:paraId="5F27C2B4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a) Enerji içeceklerinin etiketinde, besin öğesi tablosu yer almalıdır. </w:t>
      </w:r>
    </w:p>
    <w:p w14:paraId="1365643C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 b) Enerji içeceklerinin etiketinde kafein miktarı litrede miligram olarak yer almalıdır.</w:t>
      </w:r>
    </w:p>
    <w:p w14:paraId="33C31A67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 c) Bu Tebliğ kapsamındaki ürünlerin etiketinde uyarı başlığı altında, tüketici tarafından kolaylıkla görülebilecek şekilde şu ifade yer almalıdır;</w:t>
      </w:r>
    </w:p>
    <w:p w14:paraId="5ED8BBA1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"Alkol ile karıştırılarak veya beraber tüketilmemelidir. Çocuklar, 18 yaş altı kişiler, yaşlılar,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diabetikler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yüksek tansiyonu olanlar, gebe ve emzikli kadınlar,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metabolik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hastalığı </w:t>
      </w:r>
      <w:r w:rsidRPr="00AA49EE">
        <w:rPr>
          <w:rFonts w:ascii="Times New Roman" w:eastAsia="Times New Roman" w:hAnsi="Times New Roman" w:cs="Times New Roman"/>
          <w:spacing w:val="5"/>
          <w:sz w:val="20"/>
          <w:szCs w:val="20"/>
          <w:lang w:eastAsia="tr-TR"/>
        </w:rPr>
        <w:t xml:space="preserve">olanlar, böbrek yetmezliği olanlar ile kafeine hassas kişiler için tavsiye edilmez. Sporcu 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içeceği değildir, yoğun fiziksel aktivite sırasında veya sonrasında tüketilmemelidir. Günlük 500 ml’den fazla tüketilmesi tavsiye edilmez."</w:t>
      </w:r>
    </w:p>
    <w:p w14:paraId="3BA30401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 ç) Bilimsel gelişmeler ışığında, yukarıda belirtilen uyarılar genişletilebilir.</w:t>
      </w:r>
    </w:p>
    <w:p w14:paraId="77DD5F25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Katkı maddeleri</w:t>
      </w:r>
    </w:p>
    <w:p w14:paraId="029804E8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7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ürünler, 25/8/2002 tarihli ve 24857 sayılı Resmî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Gazete’de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yayımlanan "Türk Gıda Kodeksi - Gıdalarda Kullanılan Renklendiriciler Tebliği", 21/9/2006 tarihli ve 26296 sayılı Resmî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Gazete’de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yayımlanan "Türk Gıda Kodeksi - Gıda Maddelerinde Kullanılan Tatlandırıcılar Tebliği" ve 22/12/2003 tarihli ve 25324 sayılı Resmî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Gazete’de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yayımlanan "Türk Gıda Kodeksi - Renklendiriciler ve Tatlandırıcılar Dışındaki Gıda Katkı Maddeleri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Tebliği"nde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yer alan hükümlere uygun olmalıdır. </w:t>
      </w:r>
    </w:p>
    <w:p w14:paraId="1D00F281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Aroma maddeleri</w:t>
      </w:r>
    </w:p>
    <w:p w14:paraId="4863F783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8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</w:t>
      </w:r>
      <w:r w:rsidRPr="00AA49EE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>1) Bu Tebliğ kapsamında yer alan ürünlerde kullanılan aroma maddeleri,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"Türk Gıda Kodeksi Yönetmeliğinin" Gıda Aroma Maddeleri bölümüne uygun olmalıdır. </w:t>
      </w:r>
    </w:p>
    <w:p w14:paraId="3E1B335B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Bulaşanlar</w:t>
      </w:r>
    </w:p>
    <w:p w14:paraId="348E10F0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9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ürünlerdeki bulaşanların miktarları, 23/9/2002 tarihli ve 24885 sayılı Resmî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Gazete’de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yayımlanan "Türk Gıda </w:t>
      </w:r>
      <w:proofErr w:type="gram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Kodeksi -</w:t>
      </w:r>
      <w:proofErr w:type="gram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Gıda Maddelerinde Belirli Bulaşanların Maksimum Seviyelerinin Belirlenmesi Hakkında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Tebliğ"e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uygun olmalıdır.</w:t>
      </w:r>
    </w:p>
    <w:p w14:paraId="492C89B9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Hijyen</w:t>
      </w:r>
    </w:p>
    <w:p w14:paraId="4CAC636F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10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ürünler, "Türk Gıda Kodeksi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Yönetmeliği"nin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Gıda Hijyeni Bölümünde yer alan genel kurallara uygun olarak üretilmelidir.</w:t>
      </w:r>
    </w:p>
    <w:p w14:paraId="0C6F8261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Taşıma ve depolama</w:t>
      </w:r>
    </w:p>
    <w:p w14:paraId="2CE969AE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                MADDE 11 – 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(1) Bu Tebliğ kapsamında yer alan ürünlerin, taşınması ve depolanması sırasında "Türk Gıda Kodeksi Yönetmeliğinin" Taşıma ve Depolama bölümündeki kurallara uyulmalıdır.</w:t>
      </w:r>
    </w:p>
    <w:p w14:paraId="1187F2A8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Numune alma ve analiz metotları</w:t>
      </w:r>
    </w:p>
    <w:p w14:paraId="2774E495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12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ürünlerden numune alınmasında "Türk Gıda Kodeksi Yönetmeliğinin" Numune Alma ve Analiz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Metodları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bölümündeki kurallara uyulmalıdır. Numune uluslararası kabul görmüş metotlara göre analiz edilmelidir.</w:t>
      </w:r>
    </w:p>
    <w:p w14:paraId="4A7201E5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Tescil ve denetim</w:t>
      </w:r>
    </w:p>
    <w:p w14:paraId="12BF78E6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13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ürünleri üreten ve satan işyerleri; tescil ve izin, ithalat işlemleri, kontrol ve denetim sırasında bu Tebliğ hükümlerine uymak zorundadır. Bu hükümlere uymayan işyerleri 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 xml:space="preserve">hakkında 5/6/2004 tarih ve 25483 sayılı Resmî </w:t>
      </w:r>
      <w:proofErr w:type="spellStart"/>
      <w:r w:rsidRPr="00AA49EE">
        <w:rPr>
          <w:rFonts w:ascii="Times New Roman" w:eastAsia="Times New Roman" w:hAnsi="Times New Roman" w:cs="Times New Roman"/>
          <w:spacing w:val="5"/>
          <w:sz w:val="20"/>
          <w:szCs w:val="20"/>
          <w:lang w:eastAsia="tr-TR"/>
        </w:rPr>
        <w:t>Gazete’de</w:t>
      </w:r>
      <w:proofErr w:type="spellEnd"/>
      <w:r w:rsidRPr="00AA49EE">
        <w:rPr>
          <w:rFonts w:ascii="Times New Roman" w:eastAsia="Times New Roman" w:hAnsi="Times New Roman" w:cs="Times New Roman"/>
          <w:spacing w:val="5"/>
          <w:sz w:val="20"/>
          <w:szCs w:val="20"/>
          <w:lang w:eastAsia="tr-TR"/>
        </w:rPr>
        <w:t xml:space="preserve"> yayımlanan 5179 sayılı "Gıdaların Üretimi, Tüketimi ve Denetlenmesine Dair 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Kanun Hükmünde Kararnamenin Değiştirilerek Kabulü Hakkında Kanun" hükümlerine göre yasal işlem yapılır.</w:t>
      </w:r>
    </w:p>
    <w:p w14:paraId="568DC6B3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Denetim </w:t>
      </w:r>
    </w:p>
    <w:p w14:paraId="180CB53E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14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Tebliğde yer alan hükümlerin uygulanması ile ilgili denetim 5/6/2004 tarih ve 25483 sayılı Resmî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Gazete’de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yayımlanan 5179 sayılı "Gıdaların Üretimi, Tüketimi ve Denetlenmesine Dair Kanun Hükmünde Kararnamenin Değiştirilerek Kabulü Hakkında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Kanun"a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göre Tarım ve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Köyişleri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Bakanlığı tarafından yerine getirilir.</w:t>
      </w:r>
    </w:p>
    <w:p w14:paraId="3A91DACC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Yürürlükten kaldırılan mevzuat</w:t>
      </w:r>
    </w:p>
    <w:p w14:paraId="0883A4B2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15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Tarım ve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Köyişleri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Bakanlığı tarafından 27/1/2006 tarih ve 26062 sayılı Resmî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Gazete’de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yayımlanan "Türk Gıda Kodeksi – Enerji İçecekleri Tebliği" yürürlükten kaldırılmıştır.</w:t>
      </w:r>
    </w:p>
    <w:p w14:paraId="3D51F94F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Yürürlük</w:t>
      </w:r>
    </w:p>
    <w:p w14:paraId="0CD631D4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16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yayımı tarihinde yürürlüğe girer.</w:t>
      </w:r>
    </w:p>
    <w:p w14:paraId="10425B99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Yürütme</w:t>
      </w:r>
    </w:p>
    <w:p w14:paraId="5CC0BE4B" w14:textId="77777777" w:rsidR="00AA49EE" w:rsidRPr="00AA49EE" w:rsidRDefault="00AA49EE" w:rsidP="00AA49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49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               MADDE 17 –</w:t>
      </w:r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hükümlerini Tarım ve </w:t>
      </w:r>
      <w:proofErr w:type="spellStart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>Köyişleri</w:t>
      </w:r>
      <w:proofErr w:type="spellEnd"/>
      <w:r w:rsidRPr="00AA49E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Bakanı yürütür.</w:t>
      </w:r>
    </w:p>
    <w:p w14:paraId="6951288C" w14:textId="77777777" w:rsidR="004E3DF1" w:rsidRDefault="004E3DF1"/>
    <w:sectPr w:rsidR="004E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8F"/>
    <w:rsid w:val="001B518F"/>
    <w:rsid w:val="004E3DF1"/>
    <w:rsid w:val="007C4589"/>
    <w:rsid w:val="009057F5"/>
    <w:rsid w:val="00A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EA6A"/>
  <w15:chartTrackingRefBased/>
  <w15:docId w15:val="{99312B7E-D0D3-4CDE-8340-A17259DB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5262</Characters>
  <Application>Microsoft Office Word</Application>
  <DocSecurity>0</DocSecurity>
  <Lines>43</Lines>
  <Paragraphs>12</Paragraphs>
  <ScaleCrop>false</ScaleCrop>
  <Company>SilentAll Team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 Yunus</dc:creator>
  <cp:keywords/>
  <dc:description/>
  <cp:lastModifiedBy>sıla akbulut</cp:lastModifiedBy>
  <cp:revision>2</cp:revision>
  <dcterms:created xsi:type="dcterms:W3CDTF">2021-02-16T17:55:00Z</dcterms:created>
  <dcterms:modified xsi:type="dcterms:W3CDTF">2021-02-16T17:55:00Z</dcterms:modified>
</cp:coreProperties>
</file>