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18D" w:rsidRDefault="00015C0F">
      <w:pPr>
        <w:pStyle w:val="3-normalyaz"/>
        <w:spacing w:before="280" w:after="280" w:line="240" w:lineRule="atLeast"/>
        <w:jc w:val="center"/>
      </w:pPr>
      <w:r>
        <w:rPr>
          <w:b/>
          <w:bCs/>
          <w:sz w:val="20"/>
          <w:szCs w:val="20"/>
        </w:rPr>
        <w:t>TÜRK GIDA KODEKSİ BUĞDAY UNU TEBLİĞİ</w:t>
      </w:r>
    </w:p>
    <w:p w:rsidR="00BA018D" w:rsidRDefault="00015C0F">
      <w:pPr>
        <w:pStyle w:val="3-normalyaz"/>
        <w:spacing w:line="240" w:lineRule="atLeast"/>
        <w:jc w:val="center"/>
      </w:pPr>
      <w:r>
        <w:rPr>
          <w:b/>
          <w:bCs/>
          <w:sz w:val="20"/>
          <w:szCs w:val="20"/>
        </w:rPr>
        <w:t>(TEBLİĞ NO: 2013/9)</w:t>
      </w:r>
    </w:p>
    <w:p w:rsidR="00BA018D" w:rsidRDefault="00015C0F">
      <w:pPr>
        <w:pStyle w:val="3-normalyaz"/>
        <w:spacing w:line="240" w:lineRule="atLeast"/>
        <w:ind w:firstLine="566"/>
      </w:pPr>
      <w:r>
        <w:rPr>
          <w:b/>
          <w:bCs/>
          <w:sz w:val="20"/>
          <w:szCs w:val="20"/>
        </w:rPr>
        <w:t>Amaç</w:t>
      </w:r>
    </w:p>
    <w:p w:rsidR="00BA018D" w:rsidRDefault="00015C0F">
      <w:pPr>
        <w:pStyle w:val="3-normalyaz"/>
        <w:spacing w:line="240" w:lineRule="atLeast"/>
        <w:ind w:firstLine="566"/>
      </w:pPr>
      <w:r>
        <w:rPr>
          <w:b/>
          <w:bCs/>
          <w:sz w:val="20"/>
          <w:szCs w:val="20"/>
        </w:rPr>
        <w:t xml:space="preserve">MADDE l – </w:t>
      </w:r>
      <w:r>
        <w:rPr>
          <w:sz w:val="20"/>
          <w:szCs w:val="20"/>
        </w:rPr>
        <w:t xml:space="preserve">(1) Bu Tebliğin amacı; buğday ununun tekniğine uygun ve hijyenik şekilde üretilmesi, hazırlanması, işlenmesi, depolanması, nakledilmesi ve piyasaya arz edilmesi </w:t>
      </w:r>
      <w:r>
        <w:rPr>
          <w:sz w:val="20"/>
          <w:szCs w:val="20"/>
        </w:rPr>
        <w:t>aşamalarında taşıması gereken özelliklerini belirlemektir.</w:t>
      </w:r>
    </w:p>
    <w:p w:rsidR="00BA018D" w:rsidRDefault="00015C0F">
      <w:pPr>
        <w:pStyle w:val="3-normalyaz"/>
        <w:spacing w:line="240" w:lineRule="atLeast"/>
        <w:ind w:firstLine="566"/>
      </w:pPr>
      <w:r>
        <w:rPr>
          <w:b/>
          <w:bCs/>
          <w:sz w:val="20"/>
          <w:szCs w:val="20"/>
        </w:rPr>
        <w:t>Kapsam</w:t>
      </w:r>
    </w:p>
    <w:p w:rsidR="00BA018D" w:rsidRDefault="00015C0F">
      <w:pPr>
        <w:pStyle w:val="3-normalyaz"/>
        <w:spacing w:line="240" w:lineRule="atLeast"/>
        <w:ind w:firstLine="566"/>
      </w:pPr>
      <w:r>
        <w:rPr>
          <w:b/>
          <w:bCs/>
          <w:sz w:val="20"/>
          <w:szCs w:val="20"/>
        </w:rPr>
        <w:t>MADDE 2 –</w:t>
      </w:r>
      <w:r>
        <w:rPr>
          <w:sz w:val="20"/>
          <w:szCs w:val="20"/>
        </w:rPr>
        <w:t xml:space="preserve"> (1) Bu Tebliğ; Triticum aestivum (ekmeklik buğday), Triticum compactum (bisküvilik buğday) ve Triticum durum buğdaylarından (makarnalık buğday) ayrı ayrı veya karıştırılarak üretil</w:t>
      </w:r>
      <w:r>
        <w:rPr>
          <w:sz w:val="20"/>
          <w:szCs w:val="20"/>
        </w:rPr>
        <w:t>en buğday unlarını kapsar. Vitamin ve minerallerce zenginleştirilmiş buğday ununu kapsamaz.</w:t>
      </w:r>
    </w:p>
    <w:p w:rsidR="00BA018D" w:rsidRDefault="00015C0F">
      <w:pPr>
        <w:pStyle w:val="3-normalyaz"/>
        <w:spacing w:line="240" w:lineRule="atLeast"/>
        <w:ind w:firstLine="566"/>
      </w:pPr>
      <w:r>
        <w:rPr>
          <w:b/>
          <w:bCs/>
          <w:sz w:val="20"/>
          <w:szCs w:val="20"/>
        </w:rPr>
        <w:t>Dayanak</w:t>
      </w:r>
    </w:p>
    <w:p w:rsidR="00BA018D" w:rsidRDefault="00015C0F">
      <w:pPr>
        <w:pStyle w:val="3-normalyaz"/>
        <w:spacing w:line="240" w:lineRule="atLeast"/>
        <w:ind w:firstLine="566"/>
      </w:pPr>
      <w:r>
        <w:rPr>
          <w:b/>
          <w:bCs/>
          <w:sz w:val="20"/>
          <w:szCs w:val="20"/>
        </w:rPr>
        <w:t xml:space="preserve">MADDE 3 – </w:t>
      </w:r>
      <w:r>
        <w:rPr>
          <w:sz w:val="20"/>
          <w:szCs w:val="20"/>
        </w:rPr>
        <w:t>(1) Bu Tebliğ, 29/12/2011 tarihli ve 28157 üçüncü mükerrer sayılı Resmî Gazete’de yayımlanan Türk Gıda Kodeksi Yönetmeliğine dayanılarak hazırlanm</w:t>
      </w:r>
      <w:r>
        <w:rPr>
          <w:sz w:val="20"/>
          <w:szCs w:val="20"/>
        </w:rPr>
        <w:t>ıştır.</w:t>
      </w:r>
    </w:p>
    <w:p w:rsidR="00BA018D" w:rsidRDefault="00015C0F">
      <w:pPr>
        <w:pStyle w:val="3-normalyaz"/>
        <w:spacing w:line="240" w:lineRule="atLeast"/>
        <w:ind w:firstLine="566"/>
      </w:pPr>
      <w:r>
        <w:rPr>
          <w:b/>
          <w:bCs/>
          <w:sz w:val="20"/>
          <w:szCs w:val="20"/>
        </w:rPr>
        <w:t>Tanımlar</w:t>
      </w:r>
    </w:p>
    <w:p w:rsidR="00BA018D" w:rsidRDefault="00015C0F">
      <w:pPr>
        <w:pStyle w:val="3-normalyaz"/>
        <w:spacing w:line="240" w:lineRule="atLeast"/>
        <w:ind w:firstLine="566"/>
      </w:pPr>
      <w:r>
        <w:rPr>
          <w:b/>
          <w:bCs/>
          <w:sz w:val="20"/>
          <w:szCs w:val="20"/>
        </w:rPr>
        <w:t xml:space="preserve">MADDE 4 – </w:t>
      </w:r>
      <w:r>
        <w:rPr>
          <w:sz w:val="20"/>
          <w:szCs w:val="20"/>
        </w:rPr>
        <w:t>(1) Bu Tebliğde geçen;</w:t>
      </w:r>
    </w:p>
    <w:p w:rsidR="00BA018D" w:rsidRDefault="00015C0F">
      <w:pPr>
        <w:pStyle w:val="3-normalyaz"/>
        <w:spacing w:line="240" w:lineRule="atLeast"/>
        <w:ind w:firstLine="566"/>
      </w:pPr>
      <w:r>
        <w:rPr>
          <w:sz w:val="20"/>
          <w:szCs w:val="20"/>
        </w:rPr>
        <w:t>a) Buğday unu: Yabancı maddelerden temizlenmiş ve tavlanmış buğdayların tekniğine uygun olarak öğütülmesiyle elde edilen unları,</w:t>
      </w:r>
    </w:p>
    <w:p w:rsidR="00BA018D" w:rsidRDefault="00015C0F">
      <w:pPr>
        <w:pStyle w:val="3-normalyaz"/>
        <w:spacing w:line="240" w:lineRule="atLeast"/>
        <w:ind w:firstLine="566"/>
      </w:pPr>
      <w:r>
        <w:rPr>
          <w:sz w:val="20"/>
          <w:szCs w:val="20"/>
        </w:rPr>
        <w:t>b) Gıda amaçlı kullanılan buğday kepeği: Yabancı maddelerden temizlenmiş ve ta</w:t>
      </w:r>
      <w:r>
        <w:rPr>
          <w:sz w:val="20"/>
          <w:szCs w:val="20"/>
        </w:rPr>
        <w:t>vlanmış buğdayın, öğütme işlemi sonrası elde edilen unların ayrılmasından sonra arta kalan kısımlarını,</w:t>
      </w:r>
    </w:p>
    <w:p w:rsidR="00BA018D" w:rsidRDefault="00015C0F">
      <w:pPr>
        <w:pStyle w:val="3-normalyaz"/>
        <w:spacing w:line="240" w:lineRule="atLeast"/>
        <w:ind w:firstLine="566"/>
      </w:pPr>
      <w:r>
        <w:rPr>
          <w:sz w:val="20"/>
          <w:szCs w:val="20"/>
        </w:rPr>
        <w:t>c) Ekmeklik buğday unu: 4/1/2012 tarihli ve 28163 sayılı Resmî Gazete’de yayımlanan Türk Gıda Kodeksi Ekmek ve Ekmek Çeşitleri Tebliği (Tebliğ No: 2012/</w:t>
      </w:r>
      <w:r>
        <w:rPr>
          <w:sz w:val="20"/>
          <w:szCs w:val="20"/>
        </w:rPr>
        <w:t>2) kapsamında tanımlanan ekmeğin üretiminde kullanılan unu,</w:t>
      </w:r>
    </w:p>
    <w:p w:rsidR="00BA018D" w:rsidRDefault="00015C0F">
      <w:pPr>
        <w:pStyle w:val="3-normalyaz"/>
        <w:spacing w:line="240" w:lineRule="atLeast"/>
        <w:ind w:firstLine="566"/>
      </w:pPr>
      <w:r>
        <w:rPr>
          <w:sz w:val="20"/>
          <w:szCs w:val="20"/>
        </w:rPr>
        <w:t>ç) Özel amaçlı buğday unu: Türk Gıda Kodeksi Ekmek ve Ekmek Çeşitleri Tebliği (Tebliğ No: 2012/2) kapsamında tanımlanan ekmek hariç olmak üzere ekmek çeşitleri, diğer ekmek çeşitleri, ekşi hamur e</w:t>
      </w:r>
      <w:r>
        <w:rPr>
          <w:sz w:val="20"/>
          <w:szCs w:val="20"/>
        </w:rPr>
        <w:t>kmekleri ile baklava, börek, bisküvi, kek, pasta, yufka, pide, şebit, bazlama, simit, pizza, hamburger, karışık tahıllı ekmek gibi ürünler ile katkılı unlar, özel işlem görmüş unlar ve irmik altı unu gibi amaca yönelik mamullerin üretiminde kullanılan unu,</w:t>
      </w:r>
    </w:p>
    <w:p w:rsidR="00BA018D" w:rsidRDefault="00015C0F">
      <w:pPr>
        <w:pStyle w:val="3-normalyaz"/>
        <w:spacing w:line="240" w:lineRule="atLeast"/>
        <w:ind w:firstLine="566"/>
      </w:pPr>
      <w:r>
        <w:rPr>
          <w:sz w:val="20"/>
          <w:szCs w:val="20"/>
        </w:rPr>
        <w:t>d) Tam buğday unu: Yabancı maddelerden temizlenmiş buğdayların, tavlanarak veya tavlanmadan, buğday tanesinin bütün anatomik kısımlarını içerecek şekilde tekniğine uygun olarak öğütülmesiyle elde edilen unu,</w:t>
      </w:r>
    </w:p>
    <w:p w:rsidR="00BA018D" w:rsidRDefault="00015C0F">
      <w:pPr>
        <w:pStyle w:val="3-normalyaz"/>
        <w:spacing w:line="240" w:lineRule="atLeast"/>
        <w:ind w:firstLine="566"/>
      </w:pPr>
      <w:r>
        <w:rPr>
          <w:sz w:val="20"/>
          <w:szCs w:val="20"/>
        </w:rPr>
        <w:t>e) Yabancı madde: Buğday unu dışındaki böcek ve</w:t>
      </w:r>
      <w:r>
        <w:rPr>
          <w:sz w:val="20"/>
          <w:szCs w:val="20"/>
        </w:rPr>
        <w:t xml:space="preserve"> böcek parçaları ile kalıntıları, hayvansal atık ve kalıntıları, yabancı ot tohumları gibi organik maddeler ile taş, kum, toprak ve metal gibi inorganik maddeleri,</w:t>
      </w:r>
    </w:p>
    <w:p w:rsidR="00BA018D" w:rsidRDefault="00015C0F">
      <w:pPr>
        <w:pStyle w:val="3-normalyaz"/>
        <w:spacing w:line="240" w:lineRule="atLeast"/>
        <w:ind w:firstLine="566"/>
      </w:pPr>
      <w:r>
        <w:rPr>
          <w:sz w:val="20"/>
          <w:szCs w:val="20"/>
        </w:rPr>
        <w:t>ifade eder.</w:t>
      </w:r>
    </w:p>
    <w:p w:rsidR="00BA018D" w:rsidRDefault="00015C0F">
      <w:pPr>
        <w:pStyle w:val="3-normalyaz"/>
        <w:spacing w:line="240" w:lineRule="atLeast"/>
        <w:ind w:firstLine="566"/>
      </w:pPr>
      <w:r>
        <w:rPr>
          <w:b/>
          <w:bCs/>
          <w:sz w:val="20"/>
          <w:szCs w:val="20"/>
        </w:rPr>
        <w:t>Ürün özellikleri</w:t>
      </w:r>
    </w:p>
    <w:p w:rsidR="00BA018D" w:rsidRDefault="00015C0F">
      <w:pPr>
        <w:pStyle w:val="3-normalyaz"/>
        <w:spacing w:line="240" w:lineRule="atLeast"/>
        <w:ind w:firstLine="566"/>
      </w:pPr>
      <w:r>
        <w:rPr>
          <w:b/>
          <w:bCs/>
          <w:sz w:val="20"/>
          <w:szCs w:val="20"/>
        </w:rPr>
        <w:t xml:space="preserve">MADDE 5 – </w:t>
      </w:r>
      <w:r>
        <w:rPr>
          <w:sz w:val="20"/>
          <w:szCs w:val="20"/>
        </w:rPr>
        <w:t>(1) Bu Tebliğ kapsamındaki ürünlerin özellikleri aşağ</w:t>
      </w:r>
      <w:r>
        <w:rPr>
          <w:sz w:val="20"/>
          <w:szCs w:val="20"/>
        </w:rPr>
        <w:t>ıdaki gibidir:</w:t>
      </w:r>
    </w:p>
    <w:p w:rsidR="00BA018D" w:rsidRDefault="00015C0F">
      <w:pPr>
        <w:pStyle w:val="3-normalyaz"/>
        <w:spacing w:line="240" w:lineRule="atLeast"/>
        <w:ind w:firstLine="566"/>
      </w:pPr>
      <w:r>
        <w:rPr>
          <w:sz w:val="20"/>
          <w:szCs w:val="20"/>
        </w:rPr>
        <w:t>a) Buğday unu yabancı tat ve koku içermez.</w:t>
      </w:r>
    </w:p>
    <w:p w:rsidR="00BA018D" w:rsidRDefault="00015C0F">
      <w:pPr>
        <w:pStyle w:val="3-normalyaz"/>
        <w:spacing w:line="240" w:lineRule="atLeast"/>
        <w:ind w:firstLine="566"/>
      </w:pPr>
      <w:r>
        <w:rPr>
          <w:sz w:val="20"/>
          <w:szCs w:val="20"/>
        </w:rPr>
        <w:lastRenderedPageBreak/>
        <w:t>b) Un içerisinde yabancı madde bulunmaz.</w:t>
      </w:r>
    </w:p>
    <w:p w:rsidR="00BA018D" w:rsidRDefault="00015C0F">
      <w:pPr>
        <w:pStyle w:val="3-normalyaz"/>
        <w:spacing w:line="240" w:lineRule="atLeast"/>
        <w:ind w:firstLine="566"/>
      </w:pPr>
      <w:r>
        <w:rPr>
          <w:sz w:val="20"/>
          <w:szCs w:val="20"/>
        </w:rPr>
        <w:t>c) Buğday unları kendine özgü renk ve görünüşte olur.</w:t>
      </w:r>
    </w:p>
    <w:p w:rsidR="00BA018D" w:rsidRDefault="00015C0F">
      <w:pPr>
        <w:pStyle w:val="3-normalyaz"/>
        <w:spacing w:line="240" w:lineRule="atLeast"/>
        <w:ind w:firstLine="566"/>
      </w:pPr>
      <w:r>
        <w:rPr>
          <w:sz w:val="20"/>
          <w:szCs w:val="20"/>
        </w:rPr>
        <w:t>ç) Bu Tebliğ kapsamındaki ürünlerin kimyasal özellikleri ek-1’e uygun olur.</w:t>
      </w:r>
    </w:p>
    <w:p w:rsidR="00BA018D" w:rsidRDefault="00015C0F">
      <w:pPr>
        <w:pStyle w:val="3-normalyaz"/>
        <w:spacing w:line="240" w:lineRule="atLeast"/>
        <w:ind w:firstLine="566"/>
      </w:pPr>
      <w:r>
        <w:rPr>
          <w:sz w:val="20"/>
          <w:szCs w:val="20"/>
        </w:rPr>
        <w:t>d) Tam buğday unu hariç olm</w:t>
      </w:r>
      <w:r>
        <w:rPr>
          <w:sz w:val="20"/>
          <w:szCs w:val="20"/>
        </w:rPr>
        <w:t>ak üzere buğday unlarının en az % 98’i 212 mikronluk elekten geçer.</w:t>
      </w:r>
    </w:p>
    <w:p w:rsidR="00BA018D" w:rsidRDefault="00015C0F">
      <w:pPr>
        <w:pStyle w:val="3-normalyaz"/>
        <w:spacing w:line="240" w:lineRule="atLeast"/>
        <w:ind w:firstLine="566"/>
      </w:pPr>
      <w:r>
        <w:rPr>
          <w:sz w:val="20"/>
          <w:szCs w:val="20"/>
        </w:rPr>
        <w:t>e) Buğday, çavdar veya arpadan hazırlanmış enzim aktivitesi yüksek malt unu veya diğer malt ürünleri ile vital buğday gluteni teknolojik amaçlarla buğday ununa gerektiği kadar katılabilir.</w:t>
      </w:r>
    </w:p>
    <w:p w:rsidR="00BA018D" w:rsidRDefault="00015C0F">
      <w:pPr>
        <w:pStyle w:val="3-normalyaz"/>
        <w:spacing w:line="240" w:lineRule="atLeast"/>
        <w:ind w:firstLine="566"/>
      </w:pPr>
      <w:r>
        <w:rPr>
          <w:sz w:val="20"/>
          <w:szCs w:val="20"/>
        </w:rPr>
        <w:t>f) Net un ağırlığı %14,5 nem esasına göre hesaplanır.</w:t>
      </w:r>
    </w:p>
    <w:p w:rsidR="00BA018D" w:rsidRDefault="00015C0F">
      <w:pPr>
        <w:pStyle w:val="3-normalyaz"/>
        <w:spacing w:line="240" w:lineRule="atLeast"/>
        <w:ind w:firstLine="566"/>
      </w:pPr>
      <w:r>
        <w:rPr>
          <w:sz w:val="20"/>
          <w:szCs w:val="20"/>
        </w:rPr>
        <w:t>g) Özel amaçlı buğday unlarına baklagil unları teknolojik amaçlarla gerektiği kadar katılabilir.</w:t>
      </w:r>
    </w:p>
    <w:p w:rsidR="00BA018D" w:rsidRDefault="00015C0F">
      <w:pPr>
        <w:pStyle w:val="3-normalyaz"/>
        <w:spacing w:line="240" w:lineRule="atLeast"/>
        <w:ind w:firstLine="566"/>
      </w:pPr>
      <w:r>
        <w:rPr>
          <w:b/>
          <w:bCs/>
          <w:sz w:val="20"/>
          <w:szCs w:val="20"/>
        </w:rPr>
        <w:t>Katkı maddeleri</w:t>
      </w:r>
    </w:p>
    <w:p w:rsidR="00BA018D" w:rsidRDefault="00015C0F">
      <w:pPr>
        <w:pStyle w:val="3-normalyaz"/>
        <w:spacing w:line="240" w:lineRule="atLeast"/>
        <w:ind w:firstLine="566"/>
      </w:pPr>
      <w:r>
        <w:rPr>
          <w:b/>
          <w:bCs/>
          <w:sz w:val="20"/>
          <w:szCs w:val="20"/>
        </w:rPr>
        <w:t xml:space="preserve">MADDE 6 – </w:t>
      </w:r>
      <w:r>
        <w:rPr>
          <w:sz w:val="20"/>
          <w:szCs w:val="20"/>
        </w:rPr>
        <w:t xml:space="preserve">(1) Bu Tebliğ kapsamında yer alan ürünlerde kullanılan katkı </w:t>
      </w:r>
      <w:r>
        <w:rPr>
          <w:sz w:val="20"/>
          <w:szCs w:val="20"/>
        </w:rPr>
        <w:t>maddeleri, 29/12/2011 tarihli ve 28157 üçüncü mükerrer sayılı Resmî Gazete’de yayımlanan Türk Gıda Kodeksi Gıda Katkı Maddeleri Yönetmeliğinde yer alan hükümlere uygun olur.</w:t>
      </w:r>
    </w:p>
    <w:p w:rsidR="00BA018D" w:rsidRDefault="00015C0F">
      <w:pPr>
        <w:pStyle w:val="3-normalyaz"/>
        <w:spacing w:line="240" w:lineRule="atLeast"/>
        <w:ind w:firstLine="566"/>
      </w:pPr>
      <w:r>
        <w:rPr>
          <w:b/>
          <w:bCs/>
          <w:sz w:val="20"/>
          <w:szCs w:val="20"/>
        </w:rPr>
        <w:t>Bulaşanlar</w:t>
      </w:r>
    </w:p>
    <w:p w:rsidR="00BA018D" w:rsidRDefault="00015C0F">
      <w:pPr>
        <w:pStyle w:val="3-normalyaz"/>
        <w:spacing w:line="240" w:lineRule="atLeast"/>
        <w:ind w:firstLine="566"/>
      </w:pPr>
      <w:r>
        <w:rPr>
          <w:b/>
          <w:bCs/>
          <w:sz w:val="20"/>
          <w:szCs w:val="20"/>
        </w:rPr>
        <w:t xml:space="preserve">MADDE 7 – </w:t>
      </w:r>
      <w:r>
        <w:rPr>
          <w:sz w:val="20"/>
          <w:szCs w:val="20"/>
        </w:rPr>
        <w:t>(1) Bu Tebliğ kapsamında yer alan ürünlerdeki bulaşanların mi</w:t>
      </w:r>
      <w:r>
        <w:rPr>
          <w:sz w:val="20"/>
          <w:szCs w:val="20"/>
        </w:rPr>
        <w:t>ktarları, 29/12/2011 tarihli ve 28157 üçüncü mükerrer sayılı Resmî Gazete’de yayımlanan Türk Gıda Kodeksi Bulaşanlar Yönetmeliğinde yer alan hükümlere uygun olur.</w:t>
      </w:r>
    </w:p>
    <w:p w:rsidR="00BA018D" w:rsidRDefault="00015C0F">
      <w:pPr>
        <w:pStyle w:val="3-normalyaz"/>
        <w:spacing w:line="240" w:lineRule="atLeast"/>
        <w:ind w:firstLine="566"/>
      </w:pPr>
      <w:r>
        <w:rPr>
          <w:b/>
          <w:bCs/>
          <w:sz w:val="20"/>
          <w:szCs w:val="20"/>
        </w:rPr>
        <w:t>Pestisit kalıntıları</w:t>
      </w:r>
    </w:p>
    <w:p w:rsidR="00BA018D" w:rsidRDefault="00015C0F">
      <w:pPr>
        <w:pStyle w:val="3-normalyaz"/>
        <w:spacing w:line="240" w:lineRule="atLeast"/>
        <w:ind w:firstLine="566"/>
      </w:pPr>
      <w:r>
        <w:rPr>
          <w:b/>
          <w:bCs/>
          <w:sz w:val="20"/>
          <w:szCs w:val="20"/>
        </w:rPr>
        <w:t xml:space="preserve">MADDE 8 – </w:t>
      </w:r>
      <w:r>
        <w:rPr>
          <w:sz w:val="20"/>
          <w:szCs w:val="20"/>
        </w:rPr>
        <w:t>(1) Bu Tebliğ kapsamında yer alan ürünlerdeki pestisit kalıntı</w:t>
      </w:r>
      <w:r>
        <w:rPr>
          <w:sz w:val="20"/>
          <w:szCs w:val="20"/>
        </w:rPr>
        <w:t xml:space="preserve"> miktarları, 29/12/2011 tarihli ve 28157 üçüncü mükerrer sayılı Resmî Gazete’de yayımlanan Türk Gıda Kodeksi Pestisitlerin Maksimum Kalıntı Limitleri Yönetmeliğinde yer alan hükümlere uygun olur.</w:t>
      </w:r>
    </w:p>
    <w:p w:rsidR="00BA018D" w:rsidRDefault="00015C0F">
      <w:pPr>
        <w:pStyle w:val="3-normalyaz"/>
        <w:spacing w:line="240" w:lineRule="atLeast"/>
        <w:ind w:firstLine="566"/>
      </w:pPr>
      <w:r>
        <w:rPr>
          <w:b/>
          <w:bCs/>
          <w:sz w:val="20"/>
          <w:szCs w:val="20"/>
        </w:rPr>
        <w:t>Hijyen</w:t>
      </w:r>
    </w:p>
    <w:p w:rsidR="00BA018D" w:rsidRDefault="00015C0F">
      <w:pPr>
        <w:pStyle w:val="3-normalyaz"/>
        <w:spacing w:line="240" w:lineRule="atLeast"/>
        <w:ind w:firstLine="566"/>
      </w:pPr>
      <w:r>
        <w:rPr>
          <w:b/>
          <w:bCs/>
          <w:sz w:val="20"/>
          <w:szCs w:val="20"/>
        </w:rPr>
        <w:t xml:space="preserve">MADDE 9 – </w:t>
      </w:r>
      <w:r>
        <w:rPr>
          <w:sz w:val="20"/>
          <w:szCs w:val="20"/>
        </w:rPr>
        <w:t xml:space="preserve">(1) Bu Tebliğ kapsamında yer alan ürünler; </w:t>
      </w:r>
      <w:r>
        <w:rPr>
          <w:sz w:val="20"/>
          <w:szCs w:val="20"/>
        </w:rPr>
        <w:t>17/12/2011 tarihli ve 28145 sayılı Resmî Gazete’de yayımlanan Gıda Hijyeni Yönetmeliği ve 29/12/2011 tarihli ve 28157 üçüncü mükerrer sayılı Resmî Gazete’de yayımlanan Türk Gıda Kodeksi Mikrobiyolojik Kriterler Yönetmeliğinde yer alan hükümlere uygun olur.</w:t>
      </w:r>
    </w:p>
    <w:p w:rsidR="00BA018D" w:rsidRDefault="00015C0F">
      <w:pPr>
        <w:pStyle w:val="3-normalyaz"/>
        <w:spacing w:line="240" w:lineRule="atLeast"/>
        <w:ind w:firstLine="566"/>
      </w:pPr>
      <w:r>
        <w:rPr>
          <w:b/>
          <w:bCs/>
          <w:sz w:val="20"/>
          <w:szCs w:val="20"/>
        </w:rPr>
        <w:t>Ambalajlama</w:t>
      </w:r>
    </w:p>
    <w:p w:rsidR="00BA018D" w:rsidRDefault="00015C0F">
      <w:pPr>
        <w:pStyle w:val="3-normalyaz"/>
        <w:spacing w:line="240" w:lineRule="atLeast"/>
        <w:ind w:firstLine="566"/>
      </w:pPr>
      <w:r>
        <w:rPr>
          <w:b/>
          <w:bCs/>
          <w:sz w:val="20"/>
          <w:szCs w:val="20"/>
        </w:rPr>
        <w:t xml:space="preserve">MADDE 10 – </w:t>
      </w:r>
      <w:r>
        <w:rPr>
          <w:sz w:val="20"/>
          <w:szCs w:val="20"/>
        </w:rPr>
        <w:t xml:space="preserve">(1) Bu Tebliğ kapsamında yer alan ürünlerin ambalajında kullanılan malzeme, 29/12/2011 tarihli ve 28157 üçüncü mükerrer sayılı Resmî Gazete’de yayımlanan Türk Gıda Kodeksi Gıda ile Temas Eden Madde ve Malzemeler Yönetmeliğine uygun </w:t>
      </w:r>
      <w:r>
        <w:rPr>
          <w:sz w:val="20"/>
          <w:szCs w:val="20"/>
        </w:rPr>
        <w:t>madde ve malzemelerden oluşur. Ambalaj malzemesinin polipiropilen olması durumunda polipiropilen ambalajın dokuma sıklığı cm’de 5 adet ve ağırlığı en az 80 gr/m</w:t>
      </w:r>
      <w:r>
        <w:rPr>
          <w:sz w:val="20"/>
          <w:szCs w:val="20"/>
          <w:vertAlign w:val="superscript"/>
        </w:rPr>
        <w:t>2</w:t>
      </w:r>
      <w:r>
        <w:rPr>
          <w:sz w:val="20"/>
          <w:szCs w:val="20"/>
        </w:rPr>
        <w:t xml:space="preserve"> olur.</w:t>
      </w:r>
    </w:p>
    <w:p w:rsidR="00BA018D" w:rsidRDefault="00015C0F">
      <w:pPr>
        <w:pStyle w:val="3-normalyaz"/>
        <w:spacing w:line="240" w:lineRule="atLeast"/>
        <w:ind w:firstLine="566"/>
      </w:pPr>
      <w:r>
        <w:rPr>
          <w:sz w:val="20"/>
          <w:szCs w:val="20"/>
        </w:rPr>
        <w:t>(2) Bu Tebliğ kapsamında dökme olarak satışa arz edilen ürünlerin taşımasında ve depolam</w:t>
      </w:r>
      <w:r>
        <w:rPr>
          <w:sz w:val="20"/>
          <w:szCs w:val="20"/>
        </w:rPr>
        <w:t>asında kullanılan un tankeri ve silolarının buğday unu ile temas eden yüzeyleri, Türk Gıda Kodeksi Gıda ile Temas Eden Madde ve Malzemeler Yönetmeliğine uygun, yeterli temizlik ve dezenfeksiyona izin veren madde ve malzemeden yapılır.</w:t>
      </w:r>
    </w:p>
    <w:p w:rsidR="00BA018D" w:rsidRDefault="00015C0F">
      <w:pPr>
        <w:pStyle w:val="3-normalyaz"/>
        <w:spacing w:line="240" w:lineRule="atLeast"/>
        <w:ind w:firstLine="566"/>
      </w:pPr>
      <w:r>
        <w:rPr>
          <w:b/>
          <w:bCs/>
          <w:sz w:val="20"/>
          <w:szCs w:val="20"/>
        </w:rPr>
        <w:t>Etiketleme</w:t>
      </w:r>
    </w:p>
    <w:p w:rsidR="00BA018D" w:rsidRDefault="00015C0F">
      <w:pPr>
        <w:pStyle w:val="3-normalyaz"/>
        <w:spacing w:line="240" w:lineRule="atLeast"/>
        <w:ind w:firstLine="566"/>
      </w:pPr>
      <w:r>
        <w:rPr>
          <w:b/>
          <w:bCs/>
          <w:sz w:val="20"/>
          <w:szCs w:val="20"/>
        </w:rPr>
        <w:lastRenderedPageBreak/>
        <w:t>MADDE 11 –</w:t>
      </w:r>
      <w:r>
        <w:rPr>
          <w:b/>
          <w:bCs/>
          <w:sz w:val="20"/>
          <w:szCs w:val="20"/>
        </w:rPr>
        <w:t xml:space="preserve"> </w:t>
      </w:r>
      <w:r>
        <w:rPr>
          <w:sz w:val="20"/>
          <w:szCs w:val="20"/>
        </w:rPr>
        <w:t>(1) Bu Tebliğ kapsamında yer alan ürünlerin etiketi; 29/12/2011 tarihli ve 28157 üçüncü mükerrer sayılı Resmî Gazete’de yayımlanan Türk Gıda Kodeksi Etiketleme Yönetmeliğinde yer alan hükümlere ilave olarak aşağıdaki hükümlere de uygun olur.</w:t>
      </w:r>
    </w:p>
    <w:p w:rsidR="00BA018D" w:rsidRDefault="00015C0F">
      <w:pPr>
        <w:pStyle w:val="3-normalyaz"/>
        <w:spacing w:line="240" w:lineRule="atLeast"/>
        <w:ind w:firstLine="566"/>
      </w:pPr>
      <w:r>
        <w:rPr>
          <w:sz w:val="20"/>
          <w:szCs w:val="20"/>
        </w:rPr>
        <w:t xml:space="preserve">a) Bu </w:t>
      </w:r>
      <w:r>
        <w:rPr>
          <w:sz w:val="20"/>
          <w:szCs w:val="20"/>
        </w:rPr>
        <w:t>Tebliğ kapsamında yer alan ürünlerin adları, 4 üncü maddenin (b), (c), (ç) ve (d) bentlerine uygun olarak etikette belirtilir.</w:t>
      </w:r>
    </w:p>
    <w:p w:rsidR="00BA018D" w:rsidRDefault="00015C0F">
      <w:pPr>
        <w:pStyle w:val="3-normalyaz"/>
        <w:spacing w:line="240" w:lineRule="atLeast"/>
        <w:ind w:firstLine="566"/>
      </w:pPr>
      <w:r>
        <w:rPr>
          <w:sz w:val="20"/>
          <w:szCs w:val="20"/>
        </w:rPr>
        <w:t>b) Özel amaçlı buğday unlarında unun hangi amaçla kullanılacağı etikette belirtilir.</w:t>
      </w:r>
    </w:p>
    <w:p w:rsidR="00BA018D" w:rsidRDefault="00015C0F">
      <w:pPr>
        <w:pStyle w:val="3-normalyaz"/>
        <w:spacing w:line="240" w:lineRule="atLeast"/>
        <w:ind w:firstLine="566"/>
      </w:pPr>
      <w:r>
        <w:rPr>
          <w:sz w:val="20"/>
          <w:szCs w:val="20"/>
        </w:rPr>
        <w:t>c) Özel amaçlı buğday unlarının etiketi üzer</w:t>
      </w:r>
      <w:r>
        <w:rPr>
          <w:sz w:val="20"/>
          <w:szCs w:val="20"/>
        </w:rPr>
        <w:t>inde maksimum kül (%Kül Km’de (m/m)) ve minimum protein miktarları (%Protein Miktarı, Km’de) belirtilir.</w:t>
      </w:r>
    </w:p>
    <w:p w:rsidR="00BA018D" w:rsidRDefault="00015C0F">
      <w:pPr>
        <w:pStyle w:val="3-normalyaz"/>
        <w:spacing w:line="240" w:lineRule="atLeast"/>
        <w:ind w:firstLine="566"/>
      </w:pPr>
      <w:r>
        <w:rPr>
          <w:sz w:val="20"/>
          <w:szCs w:val="20"/>
        </w:rPr>
        <w:t>ç) Bu Tebliğ kapsamında yer alan ürünlere, 29/12/2011 tarihli ve 28157 üçüncü mükerrer sayılı Resmî Gazete’de yayımlanan Türk Gıda Kodeksi Gıda Katkı M</w:t>
      </w:r>
      <w:r>
        <w:rPr>
          <w:sz w:val="20"/>
          <w:szCs w:val="20"/>
        </w:rPr>
        <w:t>addeleri Yönetmeliğinde izin verilen katkılardan hiç biri katılmaz ise ürün adı ile birlikte “katkısız” ifadesi kullanılabilir.</w:t>
      </w:r>
    </w:p>
    <w:p w:rsidR="00BA018D" w:rsidRDefault="00015C0F">
      <w:pPr>
        <w:pStyle w:val="3-normalyaz"/>
        <w:spacing w:line="240" w:lineRule="atLeast"/>
        <w:ind w:firstLine="566"/>
      </w:pPr>
      <w:r>
        <w:rPr>
          <w:b/>
          <w:bCs/>
          <w:sz w:val="20"/>
          <w:szCs w:val="20"/>
        </w:rPr>
        <w:t>Taşıma ve depolama</w:t>
      </w:r>
    </w:p>
    <w:p w:rsidR="00BA018D" w:rsidRDefault="00015C0F">
      <w:pPr>
        <w:pStyle w:val="3-normalyaz"/>
        <w:spacing w:line="240" w:lineRule="atLeast"/>
        <w:ind w:firstLine="566"/>
      </w:pPr>
      <w:r>
        <w:rPr>
          <w:b/>
          <w:bCs/>
          <w:sz w:val="20"/>
          <w:szCs w:val="20"/>
        </w:rPr>
        <w:t xml:space="preserve">MADDE 12 – </w:t>
      </w:r>
      <w:r>
        <w:rPr>
          <w:sz w:val="20"/>
          <w:szCs w:val="20"/>
        </w:rPr>
        <w:t>(1) Bu Tebliğ kapsamında yer alan ürünlerin taşınması ve depolanmasında, Türk Gıda Kodeksi Yönetme</w:t>
      </w:r>
      <w:r>
        <w:rPr>
          <w:sz w:val="20"/>
          <w:szCs w:val="20"/>
        </w:rPr>
        <w:t>liğinin “Gıdaların Taşınması ve Depolanması” bölümündeki kurallara uyulur.</w:t>
      </w:r>
    </w:p>
    <w:p w:rsidR="00BA018D" w:rsidRDefault="00015C0F">
      <w:pPr>
        <w:pStyle w:val="3-normalyaz"/>
        <w:spacing w:line="240" w:lineRule="atLeast"/>
        <w:ind w:firstLine="566"/>
      </w:pPr>
      <w:r>
        <w:rPr>
          <w:b/>
          <w:bCs/>
          <w:sz w:val="20"/>
          <w:szCs w:val="20"/>
        </w:rPr>
        <w:t>Numune alma ve analiz metotları</w:t>
      </w:r>
    </w:p>
    <w:p w:rsidR="00BA018D" w:rsidRDefault="00015C0F">
      <w:pPr>
        <w:pStyle w:val="3-normalyaz"/>
        <w:spacing w:line="240" w:lineRule="atLeast"/>
        <w:ind w:firstLine="566"/>
      </w:pPr>
      <w:r>
        <w:rPr>
          <w:b/>
          <w:bCs/>
          <w:sz w:val="20"/>
          <w:szCs w:val="20"/>
        </w:rPr>
        <w:t xml:space="preserve">MADDE 13 – </w:t>
      </w:r>
      <w:r>
        <w:rPr>
          <w:sz w:val="20"/>
          <w:szCs w:val="20"/>
        </w:rPr>
        <w:t>(1) Bu Tebliğ kapsamında yer alan ürünlerden numune alınması ve analizleri, Türk Gıda Kodeksi Yönetmeliğine uygun olur.</w:t>
      </w:r>
    </w:p>
    <w:p w:rsidR="00BA018D" w:rsidRDefault="00015C0F">
      <w:pPr>
        <w:pStyle w:val="3-normalyaz"/>
        <w:spacing w:line="240" w:lineRule="atLeast"/>
        <w:ind w:firstLine="566"/>
      </w:pPr>
      <w:r>
        <w:rPr>
          <w:b/>
          <w:bCs/>
          <w:sz w:val="20"/>
          <w:szCs w:val="20"/>
        </w:rPr>
        <w:t>İdari yaptırım</w:t>
      </w:r>
    </w:p>
    <w:p w:rsidR="00BA018D" w:rsidRDefault="00015C0F">
      <w:pPr>
        <w:pStyle w:val="3-normalyaz"/>
        <w:spacing w:line="240" w:lineRule="atLeast"/>
        <w:ind w:firstLine="566"/>
      </w:pPr>
      <w:r>
        <w:rPr>
          <w:b/>
          <w:bCs/>
          <w:sz w:val="20"/>
          <w:szCs w:val="20"/>
        </w:rPr>
        <w:t>MAD</w:t>
      </w:r>
      <w:r>
        <w:rPr>
          <w:b/>
          <w:bCs/>
          <w:sz w:val="20"/>
          <w:szCs w:val="20"/>
        </w:rPr>
        <w:t xml:space="preserve">DE 14 – </w:t>
      </w:r>
      <w:r>
        <w:rPr>
          <w:sz w:val="20"/>
          <w:szCs w:val="20"/>
        </w:rPr>
        <w:t>(1) Bu Tebliğe aykırı davrananlar hakkında 11/6/2010 tarihli ve 5996 sayılı Veteriner Hizmetleri, Bitki Sağlığı, Gıda ve Yem Kanununun ilgili maddelerine göre idari yaptırım uygulanır.</w:t>
      </w:r>
    </w:p>
    <w:p w:rsidR="00BA018D" w:rsidRDefault="00015C0F">
      <w:pPr>
        <w:pStyle w:val="3-normalyaz"/>
        <w:spacing w:line="240" w:lineRule="atLeast"/>
        <w:ind w:firstLine="566"/>
      </w:pPr>
      <w:r>
        <w:rPr>
          <w:b/>
          <w:bCs/>
          <w:sz w:val="20"/>
          <w:szCs w:val="20"/>
        </w:rPr>
        <w:t>Yürürlükten kaldırılan tebliğ</w:t>
      </w:r>
    </w:p>
    <w:p w:rsidR="00BA018D" w:rsidRDefault="00015C0F">
      <w:pPr>
        <w:pStyle w:val="3-normalyaz"/>
        <w:spacing w:line="240" w:lineRule="atLeast"/>
        <w:ind w:firstLine="566"/>
      </w:pPr>
      <w:r>
        <w:rPr>
          <w:b/>
          <w:bCs/>
          <w:sz w:val="20"/>
          <w:szCs w:val="20"/>
        </w:rPr>
        <w:t xml:space="preserve">MADDE 15 – </w:t>
      </w:r>
      <w:r>
        <w:rPr>
          <w:sz w:val="20"/>
          <w:szCs w:val="20"/>
        </w:rPr>
        <w:t xml:space="preserve">(1) 17/2/1999 tarihli </w:t>
      </w:r>
      <w:r>
        <w:rPr>
          <w:sz w:val="20"/>
          <w:szCs w:val="20"/>
        </w:rPr>
        <w:t>ve 23614 sayılı Resmî Gazete’de yayımlanan Türk Gıda Kodeksi Buğday Unu Tebliği (Tebliğ No: 99/1) yürürlükten kaldırılmıştır.</w:t>
      </w:r>
    </w:p>
    <w:p w:rsidR="00BA018D" w:rsidRDefault="00015C0F">
      <w:pPr>
        <w:pStyle w:val="3-normalyaz"/>
        <w:spacing w:line="240" w:lineRule="atLeast"/>
        <w:ind w:firstLine="566"/>
      </w:pPr>
      <w:r>
        <w:rPr>
          <w:b/>
          <w:bCs/>
          <w:sz w:val="20"/>
          <w:szCs w:val="20"/>
        </w:rPr>
        <w:t>Uyum zorunluluğu</w:t>
      </w:r>
    </w:p>
    <w:p w:rsidR="00BA018D" w:rsidRDefault="00015C0F">
      <w:pPr>
        <w:pStyle w:val="3-normalyaz"/>
        <w:spacing w:line="240" w:lineRule="atLeast"/>
        <w:ind w:firstLine="566"/>
      </w:pPr>
      <w:r>
        <w:rPr>
          <w:b/>
          <w:bCs/>
          <w:sz w:val="20"/>
          <w:szCs w:val="20"/>
        </w:rPr>
        <w:t xml:space="preserve">GEÇİCİ MADDE 1 – </w:t>
      </w:r>
      <w:r>
        <w:rPr>
          <w:sz w:val="20"/>
          <w:szCs w:val="20"/>
        </w:rPr>
        <w:t>(1) Bu Tebliğin yayımı tarihinden önce faaliyet gösteren gıda işletmecileri 1/7/2013 tarihine ka</w:t>
      </w:r>
      <w:r>
        <w:rPr>
          <w:sz w:val="20"/>
          <w:szCs w:val="20"/>
        </w:rPr>
        <w:t>dar bu Tebliğ hükümlerine uymak zorundadır.</w:t>
      </w:r>
    </w:p>
    <w:p w:rsidR="00BA018D" w:rsidRDefault="00015C0F">
      <w:pPr>
        <w:pStyle w:val="3-normalyaz"/>
        <w:spacing w:line="240" w:lineRule="atLeast"/>
        <w:ind w:firstLine="566"/>
      </w:pPr>
      <w:r>
        <w:rPr>
          <w:sz w:val="20"/>
          <w:szCs w:val="20"/>
        </w:rPr>
        <w:t xml:space="preserve">(2) Bu Tebliğ kapsamında faaliyet gösteren gıda işletmecileri bu Tebliğ hükümlerini karşılayana kadar 17/2/1999 tarihli ve 23614 sayılı Resmî Gazete’de yayımlanan Türk Gıda Kodeksi Buğday Unu Tebliği </w:t>
      </w:r>
      <w:r>
        <w:rPr>
          <w:sz w:val="20"/>
          <w:szCs w:val="20"/>
        </w:rPr>
        <w:t>hükümlerine uymak zorundadır.</w:t>
      </w:r>
    </w:p>
    <w:p w:rsidR="00BA018D" w:rsidRDefault="00015C0F">
      <w:pPr>
        <w:pStyle w:val="3-normalyaz"/>
        <w:spacing w:line="240" w:lineRule="atLeast"/>
        <w:ind w:firstLine="566"/>
      </w:pPr>
      <w:r>
        <w:rPr>
          <w:b/>
          <w:bCs/>
          <w:sz w:val="20"/>
          <w:szCs w:val="20"/>
        </w:rPr>
        <w:t>Yürürlük</w:t>
      </w:r>
    </w:p>
    <w:p w:rsidR="00BA018D" w:rsidRDefault="00015C0F">
      <w:pPr>
        <w:pStyle w:val="3-normalyaz"/>
        <w:spacing w:line="240" w:lineRule="atLeast"/>
        <w:ind w:firstLine="566"/>
      </w:pPr>
      <w:r>
        <w:rPr>
          <w:b/>
          <w:bCs/>
          <w:sz w:val="20"/>
          <w:szCs w:val="20"/>
        </w:rPr>
        <w:t xml:space="preserve">MADDE 16 – </w:t>
      </w:r>
      <w:r>
        <w:rPr>
          <w:sz w:val="20"/>
          <w:szCs w:val="20"/>
        </w:rPr>
        <w:t>(1) Bu Tebliğ yayımı tarihinde yürürlüğe girer.</w:t>
      </w:r>
    </w:p>
    <w:p w:rsidR="00BA018D" w:rsidRDefault="00015C0F">
      <w:pPr>
        <w:pStyle w:val="3-normalyaz"/>
        <w:spacing w:line="240" w:lineRule="atLeast"/>
        <w:ind w:firstLine="566"/>
      </w:pPr>
      <w:r>
        <w:rPr>
          <w:b/>
          <w:bCs/>
          <w:sz w:val="20"/>
          <w:szCs w:val="20"/>
        </w:rPr>
        <w:t>Yürütme</w:t>
      </w:r>
    </w:p>
    <w:p w:rsidR="00BA018D" w:rsidRDefault="00015C0F">
      <w:pPr>
        <w:pStyle w:val="3-normalyaz"/>
        <w:spacing w:line="240" w:lineRule="atLeast"/>
        <w:ind w:firstLine="566"/>
      </w:pPr>
      <w:r>
        <w:rPr>
          <w:b/>
          <w:bCs/>
          <w:sz w:val="20"/>
          <w:szCs w:val="20"/>
        </w:rPr>
        <w:t xml:space="preserve">MADDE 17 – </w:t>
      </w:r>
      <w:r>
        <w:rPr>
          <w:sz w:val="20"/>
          <w:szCs w:val="20"/>
        </w:rPr>
        <w:t xml:space="preserve">(1) Bu Tebliğ hükümlerini Gıda, Tarım ve Hayvancılık Bakanı yürütür. </w:t>
      </w:r>
    </w:p>
    <w:p w:rsidR="00BA018D" w:rsidRDefault="00015C0F">
      <w:pPr>
        <w:shd w:val="clear" w:color="auto" w:fill="FFFFFF"/>
        <w:ind w:firstLine="709"/>
        <w:jc w:val="center"/>
        <w:rPr>
          <w:b/>
          <w:color w:val="000000"/>
        </w:rPr>
      </w:pPr>
      <w:r>
        <w:rPr>
          <w:b/>
          <w:color w:val="000000"/>
        </w:rPr>
        <w:t>Ek-1</w:t>
      </w:r>
    </w:p>
    <w:p w:rsidR="00BA018D" w:rsidRDefault="00015C0F">
      <w:pPr>
        <w:shd w:val="clear" w:color="auto" w:fill="FFFFFF"/>
        <w:ind w:firstLine="709"/>
        <w:jc w:val="center"/>
        <w:rPr>
          <w:b/>
          <w:color w:val="000000"/>
        </w:rPr>
      </w:pPr>
      <w:r>
        <w:rPr>
          <w:b/>
          <w:color w:val="000000"/>
        </w:rPr>
        <w:t>Buğday Unları ve Gıda Amaçlı Buğday Kepeğine Ait Kimyasal Özelli</w:t>
      </w:r>
      <w:r>
        <w:rPr>
          <w:b/>
          <w:color w:val="000000"/>
        </w:rPr>
        <w:t>kler</w:t>
      </w:r>
    </w:p>
    <w:p w:rsidR="00BA018D" w:rsidRDefault="00BA018D">
      <w:pPr>
        <w:shd w:val="clear" w:color="auto" w:fill="FFFFFF"/>
        <w:ind w:firstLine="709"/>
        <w:jc w:val="both"/>
        <w:rPr>
          <w:b/>
          <w:color w:val="000000"/>
        </w:rPr>
      </w:pPr>
    </w:p>
    <w:tbl>
      <w:tblPr>
        <w:tblW w:w="11342" w:type="dxa"/>
        <w:tblInd w:w="-1147"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000" w:firstRow="0" w:lastRow="0" w:firstColumn="0" w:lastColumn="0" w:noHBand="0" w:noVBand="0"/>
      </w:tblPr>
      <w:tblGrid>
        <w:gridCol w:w="1862"/>
        <w:gridCol w:w="1252"/>
        <w:gridCol w:w="1668"/>
        <w:gridCol w:w="1691"/>
        <w:gridCol w:w="1385"/>
        <w:gridCol w:w="1075"/>
        <w:gridCol w:w="1156"/>
        <w:gridCol w:w="1253"/>
      </w:tblGrid>
      <w:tr w:rsidR="00BA018D">
        <w:trPr>
          <w:trHeight w:val="2397"/>
        </w:trPr>
        <w:tc>
          <w:tcPr>
            <w:tcW w:w="1907" w:type="dxa"/>
            <w:tcBorders>
              <w:top w:val="single" w:sz="4" w:space="0" w:color="00000A"/>
              <w:left w:val="single" w:sz="4" w:space="0" w:color="00000A"/>
              <w:bottom w:val="single" w:sz="6" w:space="0" w:color="00000A"/>
              <w:right w:val="single" w:sz="6" w:space="0" w:color="00000A"/>
            </w:tcBorders>
            <w:shd w:val="clear" w:color="auto" w:fill="FFFFFF"/>
            <w:tcMar>
              <w:left w:w="0" w:type="dxa"/>
            </w:tcMar>
            <w:vAlign w:val="center"/>
          </w:tcPr>
          <w:p w:rsidR="00BA018D" w:rsidRDefault="00015C0F">
            <w:pPr>
              <w:snapToGrid w:val="0"/>
              <w:ind w:firstLine="223"/>
              <w:jc w:val="center"/>
              <w:rPr>
                <w:bCs/>
              </w:rPr>
            </w:pPr>
            <w:r>
              <w:rPr>
                <w:bCs/>
              </w:rPr>
              <w:t>Ürün</w:t>
            </w:r>
          </w:p>
        </w:tc>
        <w:tc>
          <w:tcPr>
            <w:tcW w:w="1272"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223"/>
              <w:jc w:val="center"/>
              <w:rPr>
                <w:bCs/>
              </w:rPr>
            </w:pPr>
            <w:r>
              <w:rPr>
                <w:bCs/>
              </w:rPr>
              <w:t>Nem%</w:t>
            </w:r>
          </w:p>
          <w:p w:rsidR="00BA018D" w:rsidRDefault="00015C0F">
            <w:pPr>
              <w:ind w:firstLine="223"/>
              <w:jc w:val="center"/>
              <w:rPr>
                <w:bCs/>
              </w:rPr>
            </w:pPr>
            <w:r>
              <w:rPr>
                <w:bCs/>
              </w:rPr>
              <w:t>(m/m)</w:t>
            </w:r>
          </w:p>
          <w:p w:rsidR="00BA018D" w:rsidRDefault="00015C0F">
            <w:pPr>
              <w:ind w:firstLine="223"/>
              <w:jc w:val="center"/>
              <w:rPr>
                <w:bCs/>
              </w:rPr>
            </w:pPr>
            <w:r>
              <w:rPr>
                <w:bCs/>
              </w:rPr>
              <w:t>En çok</w:t>
            </w:r>
          </w:p>
        </w:tc>
        <w:tc>
          <w:tcPr>
            <w:tcW w:w="1695"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hd w:val="clear" w:color="auto" w:fill="FFFFFF"/>
              <w:snapToGrid w:val="0"/>
              <w:ind w:firstLine="142"/>
              <w:jc w:val="center"/>
            </w:pPr>
            <w:r>
              <w:t>%Kül Km’de (m/m)</w:t>
            </w:r>
          </w:p>
          <w:p w:rsidR="00BA018D" w:rsidRDefault="00BA018D">
            <w:pPr>
              <w:shd w:val="clear" w:color="auto" w:fill="FFFFFF"/>
              <w:ind w:firstLine="709"/>
              <w:jc w:val="center"/>
              <w:rPr>
                <w:bCs/>
              </w:rPr>
            </w:pPr>
          </w:p>
        </w:tc>
        <w:tc>
          <w:tcPr>
            <w:tcW w:w="1696"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hd w:val="clear" w:color="auto" w:fill="FFFFFF"/>
              <w:snapToGrid w:val="0"/>
              <w:ind w:firstLine="193"/>
              <w:jc w:val="center"/>
            </w:pPr>
            <w:r>
              <w:t>Sedimantasyon</w:t>
            </w:r>
          </w:p>
          <w:p w:rsidR="00BA018D" w:rsidRDefault="00015C0F">
            <w:pPr>
              <w:shd w:val="clear" w:color="auto" w:fill="FFFFFF"/>
              <w:ind w:firstLine="193"/>
              <w:jc w:val="center"/>
            </w:pPr>
            <w:r>
              <w:t>(mL)</w:t>
            </w:r>
            <w:r>
              <w:rPr>
                <w:color w:val="FF0000"/>
              </w:rPr>
              <w:t xml:space="preserve"> </w:t>
            </w:r>
          </w:p>
          <w:p w:rsidR="00BA018D" w:rsidRDefault="00BA018D">
            <w:pPr>
              <w:shd w:val="clear" w:color="auto" w:fill="FFFFFF"/>
              <w:ind w:firstLine="193"/>
              <w:jc w:val="center"/>
            </w:pPr>
          </w:p>
          <w:p w:rsidR="00BA018D" w:rsidRDefault="00BA018D">
            <w:pPr>
              <w:shd w:val="clear" w:color="auto" w:fill="FFFFFF"/>
              <w:ind w:firstLine="709"/>
              <w:jc w:val="center"/>
              <w:rPr>
                <w:bCs/>
              </w:rPr>
            </w:pPr>
          </w:p>
        </w:tc>
        <w:tc>
          <w:tcPr>
            <w:tcW w:w="1271"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ind w:firstLine="142"/>
              <w:jc w:val="center"/>
            </w:pPr>
            <w:r>
              <w:t>Beklemeli Sedimantasyon</w:t>
            </w:r>
          </w:p>
          <w:p w:rsidR="00BA018D" w:rsidRDefault="00015C0F">
            <w:pPr>
              <w:ind w:firstLine="142"/>
              <w:jc w:val="center"/>
            </w:pPr>
            <w:r>
              <w:t>(mL)</w:t>
            </w:r>
            <w:r>
              <w:rPr>
                <w:color w:val="FF0000"/>
              </w:rPr>
              <w:t xml:space="preserve"> </w:t>
            </w:r>
          </w:p>
          <w:p w:rsidR="00BA018D" w:rsidRDefault="00BA018D">
            <w:pPr>
              <w:ind w:firstLine="709"/>
              <w:jc w:val="center"/>
            </w:pPr>
          </w:p>
          <w:p w:rsidR="00BA018D" w:rsidRDefault="00BA018D">
            <w:pPr>
              <w:ind w:firstLine="709"/>
              <w:jc w:val="center"/>
              <w:rPr>
                <w:bCs/>
              </w:rPr>
            </w:pPr>
          </w:p>
        </w:tc>
        <w:tc>
          <w:tcPr>
            <w:tcW w:w="1061"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91"/>
              <w:jc w:val="center"/>
            </w:pPr>
            <w:r>
              <w:t>%Protein</w:t>
            </w:r>
            <w:r>
              <w:rPr>
                <w:vertAlign w:val="superscript"/>
              </w:rPr>
              <w:t>(1)</w:t>
            </w:r>
          </w:p>
          <w:p w:rsidR="00BA018D" w:rsidRDefault="00015C0F">
            <w:pPr>
              <w:ind w:firstLine="91"/>
              <w:jc w:val="center"/>
            </w:pPr>
            <w:r>
              <w:t>Miktarı</w:t>
            </w:r>
          </w:p>
          <w:p w:rsidR="00BA018D" w:rsidRDefault="00015C0F">
            <w:pPr>
              <w:ind w:firstLine="91"/>
              <w:jc w:val="center"/>
            </w:pPr>
            <w:r>
              <w:t>Km’de</w:t>
            </w:r>
          </w:p>
          <w:p w:rsidR="00BA018D" w:rsidRDefault="00015C0F">
            <w:pPr>
              <w:ind w:firstLine="91"/>
              <w:jc w:val="center"/>
            </w:pPr>
            <w:r>
              <w:t>(en az)</w:t>
            </w:r>
          </w:p>
        </w:tc>
        <w:tc>
          <w:tcPr>
            <w:tcW w:w="1166" w:type="dxa"/>
            <w:tcBorders>
              <w:top w:val="single" w:sz="4"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%Asitlik</w:t>
            </w:r>
          </w:p>
          <w:p w:rsidR="00BA018D" w:rsidRDefault="00015C0F">
            <w:pPr>
              <w:jc w:val="center"/>
            </w:pPr>
            <w:r>
              <w:t>Km’de</w:t>
            </w:r>
          </w:p>
          <w:p w:rsidR="00BA018D" w:rsidRDefault="00015C0F">
            <w:pPr>
              <w:jc w:val="center"/>
            </w:pPr>
            <w:r>
              <w:t>(sülfürik asit cinsinden)</w:t>
            </w:r>
          </w:p>
          <w:p w:rsidR="00BA018D" w:rsidRDefault="00015C0F">
            <w:pPr>
              <w:jc w:val="center"/>
            </w:pPr>
            <w:r>
              <w:t>en çok</w:t>
            </w:r>
          </w:p>
        </w:tc>
        <w:tc>
          <w:tcPr>
            <w:tcW w:w="1272" w:type="dxa"/>
            <w:tcBorders>
              <w:top w:val="single" w:sz="4" w:space="0" w:color="00000A"/>
              <w:left w:val="single" w:sz="6" w:space="0" w:color="00000A"/>
              <w:bottom w:val="single" w:sz="6" w:space="0" w:color="00000A"/>
              <w:right w:val="single" w:sz="4" w:space="0" w:color="00000A"/>
            </w:tcBorders>
            <w:shd w:val="clear" w:color="auto" w:fill="auto"/>
            <w:tcMar>
              <w:left w:w="-2" w:type="dxa"/>
            </w:tcMar>
            <w:vAlign w:val="center"/>
          </w:tcPr>
          <w:p w:rsidR="00BA018D" w:rsidRDefault="00015C0F">
            <w:pPr>
              <w:snapToGrid w:val="0"/>
              <w:ind w:firstLine="48"/>
              <w:jc w:val="center"/>
              <w:rPr>
                <w:bCs/>
              </w:rPr>
            </w:pPr>
            <w:r>
              <w:rPr>
                <w:bCs/>
              </w:rPr>
              <w:t>Düşme Sayısı (Sn)</w:t>
            </w:r>
          </w:p>
          <w:p w:rsidR="00BA018D" w:rsidRDefault="00015C0F">
            <w:pPr>
              <w:ind w:firstLine="48"/>
              <w:jc w:val="center"/>
              <w:rPr>
                <w:bCs/>
              </w:rPr>
            </w:pPr>
            <w:r>
              <w:rPr>
                <w:bCs/>
              </w:rPr>
              <w:t>En az</w:t>
            </w:r>
          </w:p>
        </w:tc>
      </w:tr>
      <w:tr w:rsidR="00BA018D">
        <w:trPr>
          <w:trHeight w:val="695"/>
        </w:trPr>
        <w:tc>
          <w:tcPr>
            <w:tcW w:w="1907" w:type="dxa"/>
            <w:tcBorders>
              <w:top w:val="single" w:sz="6" w:space="0" w:color="00000A"/>
              <w:left w:val="single" w:sz="4" w:space="0" w:color="00000A"/>
              <w:bottom w:val="single" w:sz="6" w:space="0" w:color="00000A"/>
              <w:right w:val="single" w:sz="6" w:space="0" w:color="00000A"/>
            </w:tcBorders>
            <w:shd w:val="clear" w:color="auto" w:fill="auto"/>
            <w:tcMar>
              <w:left w:w="0" w:type="dxa"/>
            </w:tcMar>
            <w:vAlign w:val="center"/>
          </w:tcPr>
          <w:p w:rsidR="00BA018D" w:rsidRDefault="00015C0F">
            <w:pPr>
              <w:snapToGrid w:val="0"/>
              <w:ind w:firstLine="81"/>
              <w:jc w:val="center"/>
            </w:pPr>
            <w:r>
              <w:t>Özel Amaçlı Buğday Unu</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81"/>
              <w:jc w:val="center"/>
            </w:pPr>
            <w:r>
              <w:t>14,5</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142"/>
              <w:jc w:val="center"/>
            </w:pPr>
            <w:r>
              <w:t>Aranmaz</w:t>
            </w:r>
          </w:p>
        </w:tc>
        <w:tc>
          <w:tcPr>
            <w:tcW w:w="169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51"/>
              <w:jc w:val="center"/>
            </w:pPr>
            <w:r>
              <w:t>Aranmaz</w:t>
            </w:r>
          </w:p>
        </w:tc>
        <w:tc>
          <w:tcPr>
            <w:tcW w:w="127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Aranmaz</w:t>
            </w:r>
          </w:p>
        </w:tc>
        <w:tc>
          <w:tcPr>
            <w:tcW w:w="106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91"/>
              <w:jc w:val="center"/>
            </w:pPr>
            <w:r>
              <w:t>7</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0,07</w:t>
            </w:r>
          </w:p>
        </w:tc>
        <w:tc>
          <w:tcPr>
            <w:tcW w:w="1272"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rsidR="00BA018D" w:rsidRDefault="00015C0F">
            <w:pPr>
              <w:snapToGrid w:val="0"/>
              <w:ind w:firstLine="48"/>
              <w:jc w:val="center"/>
            </w:pPr>
            <w:r>
              <w:t>Aranmaz</w:t>
            </w:r>
          </w:p>
        </w:tc>
      </w:tr>
      <w:tr w:rsidR="00BA018D">
        <w:trPr>
          <w:trHeight w:val="638"/>
        </w:trPr>
        <w:tc>
          <w:tcPr>
            <w:tcW w:w="1907" w:type="dxa"/>
            <w:tcBorders>
              <w:top w:val="single" w:sz="6" w:space="0" w:color="00000A"/>
              <w:left w:val="single" w:sz="4" w:space="0" w:color="00000A"/>
              <w:bottom w:val="single" w:sz="6" w:space="0" w:color="00000A"/>
              <w:right w:val="single" w:sz="6" w:space="0" w:color="00000A"/>
            </w:tcBorders>
            <w:shd w:val="clear" w:color="auto" w:fill="auto"/>
            <w:tcMar>
              <w:left w:w="0" w:type="dxa"/>
            </w:tcMar>
            <w:vAlign w:val="center"/>
          </w:tcPr>
          <w:p w:rsidR="00BA018D" w:rsidRDefault="00015C0F">
            <w:pPr>
              <w:snapToGrid w:val="0"/>
              <w:ind w:firstLine="81"/>
              <w:rPr>
                <w:strike/>
              </w:rPr>
            </w:pPr>
            <w:r>
              <w:t>Ekmeklik Buğday Unu</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81"/>
              <w:jc w:val="center"/>
            </w:pPr>
            <w:r>
              <w:t>14,5</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142"/>
              <w:jc w:val="center"/>
            </w:pPr>
            <w:r>
              <w:t>0,7&lt;%Kül≤ 0,8</w:t>
            </w:r>
          </w:p>
        </w:tc>
        <w:tc>
          <w:tcPr>
            <w:tcW w:w="169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BA018D">
            <w:pPr>
              <w:snapToGrid w:val="0"/>
              <w:ind w:firstLine="51"/>
              <w:jc w:val="center"/>
            </w:pPr>
          </w:p>
          <w:p w:rsidR="00BA018D" w:rsidRDefault="00015C0F">
            <w:pPr>
              <w:snapToGrid w:val="0"/>
              <w:ind w:firstLine="51"/>
              <w:jc w:val="center"/>
            </w:pPr>
            <w:r>
              <w:t>En az 30</w:t>
            </w:r>
          </w:p>
          <w:p w:rsidR="00BA018D" w:rsidRDefault="00BA018D">
            <w:pPr>
              <w:snapToGrid w:val="0"/>
              <w:ind w:firstLine="51"/>
              <w:jc w:val="center"/>
            </w:pPr>
          </w:p>
        </w:tc>
        <w:tc>
          <w:tcPr>
            <w:tcW w:w="127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BA018D">
            <w:pPr>
              <w:snapToGrid w:val="0"/>
              <w:jc w:val="center"/>
            </w:pPr>
          </w:p>
          <w:p w:rsidR="00BA018D" w:rsidRDefault="00015C0F">
            <w:pPr>
              <w:snapToGrid w:val="0"/>
              <w:jc w:val="center"/>
            </w:pPr>
            <w:r>
              <w:t>En az 30</w:t>
            </w:r>
          </w:p>
          <w:p w:rsidR="00BA018D" w:rsidRDefault="00BA018D">
            <w:pPr>
              <w:snapToGrid w:val="0"/>
              <w:jc w:val="center"/>
            </w:pPr>
          </w:p>
        </w:tc>
        <w:tc>
          <w:tcPr>
            <w:tcW w:w="106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91"/>
              <w:jc w:val="center"/>
            </w:pPr>
            <w:r>
              <w:t>10,5</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0,07</w:t>
            </w:r>
          </w:p>
        </w:tc>
        <w:tc>
          <w:tcPr>
            <w:tcW w:w="1272"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rsidR="00BA018D" w:rsidRDefault="00015C0F">
            <w:pPr>
              <w:snapToGrid w:val="0"/>
              <w:ind w:firstLine="48"/>
              <w:jc w:val="center"/>
            </w:pPr>
            <w:r>
              <w:t>250</w:t>
            </w:r>
          </w:p>
        </w:tc>
      </w:tr>
      <w:tr w:rsidR="00BA018D">
        <w:trPr>
          <w:trHeight w:val="1078"/>
        </w:trPr>
        <w:tc>
          <w:tcPr>
            <w:tcW w:w="1907" w:type="dxa"/>
            <w:tcBorders>
              <w:top w:val="single" w:sz="6" w:space="0" w:color="00000A"/>
              <w:left w:val="single" w:sz="4" w:space="0" w:color="00000A"/>
              <w:bottom w:val="single" w:sz="6" w:space="0" w:color="00000A"/>
              <w:right w:val="single" w:sz="6" w:space="0" w:color="00000A"/>
            </w:tcBorders>
            <w:shd w:val="clear" w:color="auto" w:fill="auto"/>
            <w:tcMar>
              <w:left w:w="0" w:type="dxa"/>
            </w:tcMar>
            <w:vAlign w:val="center"/>
          </w:tcPr>
          <w:p w:rsidR="00BA018D" w:rsidRDefault="00015C0F">
            <w:pPr>
              <w:snapToGrid w:val="0"/>
              <w:ind w:firstLine="81"/>
              <w:jc w:val="center"/>
            </w:pPr>
            <w:r>
              <w:t>Tam Buğday Unu</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81"/>
              <w:jc w:val="center"/>
            </w:pPr>
            <w:r>
              <w:t>14,5</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142"/>
              <w:jc w:val="center"/>
            </w:pPr>
            <w:r>
              <w:t>En az 1,2</w:t>
            </w:r>
          </w:p>
        </w:tc>
        <w:tc>
          <w:tcPr>
            <w:tcW w:w="169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51"/>
              <w:jc w:val="center"/>
            </w:pPr>
            <w:r>
              <w:t>Aranmaz</w:t>
            </w:r>
          </w:p>
        </w:tc>
        <w:tc>
          <w:tcPr>
            <w:tcW w:w="127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Aranmaz</w:t>
            </w:r>
          </w:p>
        </w:tc>
        <w:tc>
          <w:tcPr>
            <w:tcW w:w="106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ind w:firstLine="91"/>
              <w:jc w:val="center"/>
            </w:pPr>
            <w:r>
              <w:t>11</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rsidR="00BA018D" w:rsidRDefault="00015C0F">
            <w:pPr>
              <w:snapToGrid w:val="0"/>
              <w:jc w:val="center"/>
            </w:pPr>
            <w:r>
              <w:t>0,09</w:t>
            </w:r>
          </w:p>
        </w:tc>
        <w:tc>
          <w:tcPr>
            <w:tcW w:w="1272"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rsidR="00BA018D" w:rsidRDefault="00015C0F">
            <w:pPr>
              <w:snapToGrid w:val="0"/>
              <w:ind w:firstLine="48"/>
              <w:jc w:val="center"/>
            </w:pPr>
            <w:r>
              <w:t>Aranmaz</w:t>
            </w:r>
          </w:p>
        </w:tc>
      </w:tr>
      <w:tr w:rsidR="00BA018D">
        <w:trPr>
          <w:trHeight w:val="1307"/>
        </w:trPr>
        <w:tc>
          <w:tcPr>
            <w:tcW w:w="1907" w:type="dxa"/>
            <w:tcBorders>
              <w:top w:val="single" w:sz="6" w:space="0" w:color="00000A"/>
              <w:left w:val="single" w:sz="4" w:space="0" w:color="00000A"/>
              <w:bottom w:val="single" w:sz="4" w:space="0" w:color="00000A"/>
              <w:right w:val="single" w:sz="6" w:space="0" w:color="00000A"/>
            </w:tcBorders>
            <w:shd w:val="clear" w:color="auto" w:fill="auto"/>
            <w:tcMar>
              <w:left w:w="0" w:type="dxa"/>
            </w:tcMar>
            <w:vAlign w:val="center"/>
          </w:tcPr>
          <w:p w:rsidR="00BA018D" w:rsidRDefault="00015C0F">
            <w:pPr>
              <w:snapToGrid w:val="0"/>
              <w:ind w:firstLine="81"/>
              <w:jc w:val="center"/>
            </w:pPr>
            <w:r>
              <w:t>Gıda Amaçlı Buğday Kepeği</w:t>
            </w:r>
          </w:p>
        </w:tc>
        <w:tc>
          <w:tcPr>
            <w:tcW w:w="1272"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ind w:firstLine="81"/>
              <w:jc w:val="center"/>
            </w:pPr>
            <w:r>
              <w:t>12</w:t>
            </w:r>
          </w:p>
        </w:tc>
        <w:tc>
          <w:tcPr>
            <w:tcW w:w="1695"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ind w:firstLine="142"/>
              <w:jc w:val="center"/>
            </w:pPr>
            <w:r>
              <w:t>Aranmaz</w:t>
            </w:r>
          </w:p>
        </w:tc>
        <w:tc>
          <w:tcPr>
            <w:tcW w:w="1696"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ind w:firstLine="51"/>
              <w:jc w:val="center"/>
            </w:pPr>
            <w:r>
              <w:t>Aranmaz</w:t>
            </w:r>
          </w:p>
        </w:tc>
        <w:tc>
          <w:tcPr>
            <w:tcW w:w="1271"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jc w:val="center"/>
            </w:pPr>
            <w:r>
              <w:t>Aranmaz</w:t>
            </w:r>
          </w:p>
        </w:tc>
        <w:tc>
          <w:tcPr>
            <w:tcW w:w="1061"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ind w:firstLine="91"/>
              <w:jc w:val="center"/>
            </w:pPr>
            <w:r>
              <w:t>Aranmaz</w:t>
            </w:r>
          </w:p>
        </w:tc>
        <w:tc>
          <w:tcPr>
            <w:tcW w:w="1166" w:type="dxa"/>
            <w:tcBorders>
              <w:top w:val="single" w:sz="6" w:space="0" w:color="00000A"/>
              <w:left w:val="single" w:sz="6" w:space="0" w:color="00000A"/>
              <w:bottom w:val="single" w:sz="4" w:space="0" w:color="00000A"/>
              <w:right w:val="single" w:sz="6" w:space="0" w:color="00000A"/>
            </w:tcBorders>
            <w:shd w:val="clear" w:color="auto" w:fill="auto"/>
            <w:tcMar>
              <w:left w:w="-2" w:type="dxa"/>
            </w:tcMar>
            <w:vAlign w:val="center"/>
          </w:tcPr>
          <w:p w:rsidR="00BA018D" w:rsidRDefault="00015C0F">
            <w:pPr>
              <w:snapToGrid w:val="0"/>
              <w:jc w:val="center"/>
            </w:pPr>
            <w:r>
              <w:t>Aranmaz</w:t>
            </w:r>
          </w:p>
        </w:tc>
        <w:tc>
          <w:tcPr>
            <w:tcW w:w="1272" w:type="dxa"/>
            <w:tcBorders>
              <w:top w:val="single" w:sz="6" w:space="0" w:color="00000A"/>
              <w:left w:val="single" w:sz="6" w:space="0" w:color="00000A"/>
              <w:bottom w:val="single" w:sz="4" w:space="0" w:color="00000A"/>
              <w:right w:val="single" w:sz="4" w:space="0" w:color="00000A"/>
            </w:tcBorders>
            <w:shd w:val="clear" w:color="auto" w:fill="auto"/>
            <w:tcMar>
              <w:left w:w="-2" w:type="dxa"/>
            </w:tcMar>
            <w:vAlign w:val="center"/>
          </w:tcPr>
          <w:p w:rsidR="00BA018D" w:rsidRDefault="00015C0F">
            <w:pPr>
              <w:snapToGrid w:val="0"/>
              <w:ind w:firstLine="48"/>
              <w:jc w:val="center"/>
            </w:pPr>
            <w:r>
              <w:t>Aranmaz</w:t>
            </w:r>
          </w:p>
        </w:tc>
      </w:tr>
    </w:tbl>
    <w:p w:rsidR="00BA018D" w:rsidRDefault="00015C0F">
      <w:pPr>
        <w:numPr>
          <w:ilvl w:val="0"/>
          <w:numId w:val="1"/>
        </w:numPr>
        <w:spacing w:after="0" w:line="240" w:lineRule="auto"/>
        <w:rPr>
          <w:color w:val="FF0000"/>
        </w:rPr>
      </w:pPr>
      <w:r>
        <w:t xml:space="preserve">% </w:t>
      </w:r>
      <w:r>
        <w:t>Protein Miktarı Km’de (en az)</w:t>
      </w:r>
      <w:r>
        <w:rPr>
          <w:b/>
          <w:bCs/>
        </w:rPr>
        <w:t xml:space="preserve"> (N x 5.7)</w:t>
      </w:r>
    </w:p>
    <w:p w:rsidR="00BA018D" w:rsidRDefault="00BA018D"/>
    <w:sectPr w:rsidR="00BA018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6A31"/>
    <w:multiLevelType w:val="multilevel"/>
    <w:tmpl w:val="48960E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6458A1"/>
    <w:multiLevelType w:val="multilevel"/>
    <w:tmpl w:val="C2D4E770"/>
    <w:lvl w:ilvl="0">
      <w:start w:val="1"/>
      <w:numFmt w:val="decimal"/>
      <w:lvlText w:val="(%1)"/>
      <w:lvlJc w:val="left"/>
      <w:pPr>
        <w:ind w:left="1069" w:hanging="360"/>
      </w:pPr>
      <w:rPr>
        <w:b/>
        <w:color w:val="00000A"/>
        <w:vertAlign w:val="superscrip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8D"/>
    <w:rsid w:val="00015C0F"/>
    <w:rsid w:val="00BA018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b/>
      <w:color w:val="00000A"/>
      <w:vertAlign w:val="superscript"/>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3-normalyaz">
    <w:name w:val="3-normalyaz"/>
    <w:basedOn w:val="Normal"/>
    <w:qFormat/>
    <w:rsid w:val="00530929"/>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Office Word</Application>
  <DocSecurity>0</DocSecurity>
  <Lines>54</Lines>
  <Paragraphs>15</Paragraphs>
  <ScaleCrop>false</ScaleCrop>
  <Company>SilentAll Team</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2017-02-22T16:55:00Z</cp:lastPrinted>
  <dcterms:created xsi:type="dcterms:W3CDTF">2021-02-16T17:52:00Z</dcterms:created>
  <dcterms:modified xsi:type="dcterms:W3CDTF">2021-02-16T17:52:00Z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