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2BD3" w:rsidRDefault="009D2BDE">
      <w:pPr>
        <w:spacing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TÜRK GIDA KODEKSİ BAL TEBLİĞİ</w:t>
      </w:r>
    </w:p>
    <w:p w:rsidR="00FD2BD3" w:rsidRDefault="009D2BDE">
      <w:pPr>
        <w:spacing w:beforeAutospacing="1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(TEBLİĞ NO: 2012/58)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Amaç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Tebliğin amacı, balın tekniğine uygun ve hijyenik şekilde üretilmesi, hazırlanması, işlenmesi, depolanması, nakledilmesi ve piyasaya arz edilmesi aşamalarında taşıması gereken özelliklerini belirlemektir.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Kapsam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2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bal arısı, 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pis mellifera, tarafından üretilen balı kapsar.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Dayanak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3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29/12/2011 tarihli ve 28157 3 üncü mükerrer sayılı Resmî Gazete’de yayımlanan Türk Gıda Kodeksi Yönetmeliğine dayanılarak hazırlanmıştır.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Tanımlar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4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Tebliğde geç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en;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Bal: Bitki nektarlarının, bitkilerin canlı kısımlarının salgılarının veya bitkilerin canlı kısımları üzerinde yaşayan bitki emici böceklerin salgılarının bal arısı tarafından toplandıktan sonra kendine özgü maddelerle birleştirerek değişikliğe uğrat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tığı, su içeriğini düşürdüğü ve petekte depolayarak olgunlaştırdığı doğal ürünü,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Çerçeve: Arıların doğrudan petek yaptığı veya içine temel peteklerin yerleştirildiği malzemeyi,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Doğal petekli bal: Modern kovanlarda, içerisinde temel petek kullanılmada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n, arılar tarafından peteği ile beraber üretilen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ç) Fırıncılık balı: Yabancı tat ve kokuya sahip veya fermentasyona başlamış veya fermente olmuş veya yüksek sıcaklıkta işlem görmüş, endüstriyel veya daha sonra işlenecek diğer gıda maddelerinde bileşe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 olarak kullanılma amaçlı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 HMF: Hidroksimetilfurfuralı,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e) Karakovan: Çalıdan örme sepetler ve içi oyulmuş ağaç kütükleri gibi belirli bir standardı olmayan ve modern arıcılık tekniklerinin uygulanmasına imkân vermeyen ilkel kovanları,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f) Karakova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 balı: İçerisinde temel petek kullanılmadan, karakovanlarda arılar tarafından peteği ile beraber üretilen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g) Kaynağına göre;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1) Çiçek balı: Bitki nektarından elde edilen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2) Salgı balı: Bitkilerin canlı kısımlarının salgılarından veya bitkileri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 canlı kısımları üzerinde yaşayan bitki emici böceklerin -Hemiptera- salgılarından elde edilen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ğ) Üretim ve/veya pazara sunuluş şekline göre;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1) Petekli bal: Kuluçka amaçlı kullanılmamış olan saf balmumundan hazırlanmış temel peteklerin veya arılar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tarafından yapılmış peteklerin gözlerinde depolanmış ve tamamı veya büyük bölümü sırlanmış olarak satışa sunulan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2) Süzme bal: Sırları alınan yavrusuz peteklerden santrifüj yolu ile elde edilen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3) Petekli süzme bal: Süzme bal içerisinde petekli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bal parçaları ile hazırlanmış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4) Sızma bal: Sırları alınmış yavrusuz peteklerden sızdırılarak elde edilen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5) Pres balı: Yavrusuz peteklerin doğrudan veya 45°C’yi aşmamak üzere ısıtılarak preslenmesi ile elde edilen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6) Filtre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edilmiş bal: Yabancı organik veya inorganik maddelerin filtrasyon yolu ile uzaklaştırılması sırasında polen içeriği önemli ölçüde azalmış balı,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ifade eder.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Ürün özellikleri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5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piyasaya sunulan veya insan tüketimi amacıyla he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rhangi bir gıda maddesinde bileşen olarak kullanılan bala ait özellikler aşağıda verilmiştir.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Bala gıda katkı maddeleri de dâhil olmak üzere dışarıdan hiçbir madde katılamaz. Balın doğal bileşiminde bulunmayan organik ve/veya inorganik maddelerden ari o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lması gerekir. Fırıncılık balı dışında bal; bala ait olmayan yabancı tat ve kokuda, fermantasyonu başlamış, asitliği yapay olarak değiştirilmiş veya içerdiği doğal enzimleri parçalayacak ya da önemli düzeyde inaktive edecek şekilde ısıtılamaz. Filtre edilm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iş bal ile ilgili hükümler saklı kalmak kaydıyla yabancı organik veya inorganik maddelerin ayrılması sırasında kaçınılmaz olan kayıplar dışında baldan polen veya diğer bala özgü bileşenler uzaklaştırılamaz.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Bal, 23/8/2006 tarihli ve 26268 sayılı Resmî G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azete’de yayımlanan Türk Gıda Kodeksi Şeker Tebliğinde yer alan şekerleri içeremez.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c) Balın tadı ve aroması, balın kaynağına ve üretildiği bitkinin türüne bağlı olarak değişmekle birlikte, balın kendine özgü koku ve tada sahip olması gerekir.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ç) Balın ren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gi su beyazından koyu amber renge kadar değişebilir. Salgı balının rengi pfund skalaya göre en az 60 olmalıdır.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 Temel petekte balmumunun doğal yapısında bulunmayan, parafin, serezin, iç yağı, reçine, oksalik asit gibi organik maddeler ile ağartıcı madde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ler gibi inorganik maddeler bulunamaz. Ayrıca bir gram petekte Amerikan Yavru Çürüklüğü etkeni Paenibacillus larvea spor ve vejetatif formu ile Nosemosis etkenleri Nosema apis ve Nosema cerene sporları bulunamaz.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e) Etiketinde orijin aldığı çiçek, bitki, b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ölge veya coğrafya belirtilen ballara filtre bal ilave edilemez.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f) Petekli ballarda, peteğin en az % 80’i sırlanmış olması gerekir.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g) Etiketinde botanik orijini belirtilen ballarda, balların bu özelliklerinin polen analizi ile uyumlu olması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gerekir.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ğ) Bu Tebliğ kapsamında Ek-1’de çiçek balı için belirlenen kriterler, krem bal ve kristalize bal olarak adlandırılan ballar için de geçerlidir.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h) Karakovan balı ve doğal petekli ballar süzme bal olarak piyasaya arz edilemez.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 xml:space="preserve">ı) Karakovan balı ve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doğal petekli bal adıyla piyasaya arz edilecek ballarda peteğin parçalanmaması ve süzme bal ilave edilmemesi gerekir.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i) Ballara ait diğer özellikler Ek-1’de yer almaktadır.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Katkı maddeleri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6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Bala hiçbir katkı maddesi katılamaz.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Aroma vericiler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ve aroma verme özelliği taşıyan gıda bileşenleri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7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Bala hiçbir aroma verici ve aroma verme özelliği taşıyan gıda bileşenleri katılamaz.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Bulaşanlar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8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ürünlerde, 29/12/2011 tarihli ve 28157 3 üncü mükerr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er sayılı Resmî Gazete’de yayımlanan Türk Gıda Kodeksi Bulaşanlar Yönetmeliğinde yer alan hükümler uygulanır.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Pestisit kalıntıları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9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ürünlerde, 29/12/2011 tarihli ve 28157 3 üncü mükerrer sayılı Resmî Gazete’de yay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ımlanan Türk Gıda Kodeksi Pestisitlerin Maksimum Kalıntı Limitleri Yönetmeliğinde yer alan hükümler uygulanır.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Veteriner ilaç kalıntıları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10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ürünlerde, 4/5/2012 tarihli ve 28282 sayılı Resmî Gazete’de yayımlanan Tü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rk Gıda Kodeksi Hayvansal Gıdalarda Bulunabilecek Farmakolojik Aktif Maddelerin Sınıflandırılması ve Maksimum Kalıntı Limitleri Yönetmeliği’nde yer alan hükümler uygulanır.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Hijyen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11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ürünlerde, 29/12/2011 tarihli v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 28157 3 üncü mükerrer sayılı Resmî Gazete’de yayımlanan Türk Gıda Kodeksi Mikrobiyolojik Kriterler Yönetmeliği ile 17/12/2011 tarihli ve 28145 sayılı Resmî Gazete’de yayımlanan Gıda Hijyeni Yönetmeliğinde yer alan hükümler uygulanır.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Ambalajlama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12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 ambalajlarında, 29/12/2011 tarihli ve 28157 3 üncü mükerrer sayılı Resmî Gazete’de yayımlanan Türk Gıda Kodeksi Gıda ile Temas Eden Madde ve Malzemeler Yönetmeliğinde yer alan hükümler uygulanır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Etiketleme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13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ürünlerde, 29/12/2011 tarihli ve 28157 3 üncü mükerrer sayılı Resmî Gazete’de yayımlanan Türk Gıda Kodeksi Etiketleme Yönetmeliğinde yer alan hükümler uygulanır. Bu genel kurallara ek olan kurallar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aşağıda verilmiştir: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a) Etikette “1 yaşından küçük bebeklere bal yedirilmemelidir” ifadesi yer alır.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b) Çerçeveli balda net miktara “çerçeve ağırlığı” dahil değildir. Çerçevelere arıcıların işletme numaraları yazılır.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c) Etikette balın orijini; salgı balı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veya çiçek balı olduğu, bal ifadesinin yanında aynı punto ile belirtilir.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ç) Filtre edilmiş ballar ve fırıncılık balları hariç olmak üzere, balın botanik kaynağı belirli ise ve bal bu kaynağa ait duyusal, fiziksel, kimyasal ve mikroskopik özellikleri belir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gin şekilde taşıyorsa, ürün ismi “ayçiçeği balı, ıhlamur balı” gibi orijin aldığı çiçek veya bitkinin adı ile desteklenebilir.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d) Filtre edilmiş ballar ve fırıncılık balları hariç olmak üzere, bal üretildiği bölgenin florasına ait özelikleri belirgin şekil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de taşıyorsa, ürün ismi, coğrafi işaretten doğan haklara aykırı olmamak kaydıyla, o bölgenin bölgesel, coğrafi veya topografik adı ile birlikte kullanılabilir.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e) Fırıncılık ballarının etiketinde “sadece pişirme amaçlı” ifadesi ürün ismine yakın ve kolayca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görülebilir bir şekilde yer alır.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f) Fırıncılık ballarının bileşen olarak kullanıldığı bileşik bir gıda maddesinde “bal” ifadesi “fırıncılık balı” yerine bileşik gıda maddesinin isminde kullanılabilir. Ancak, ürünün bileşenler listesinde “fırıncılık balı”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olarak yer alır.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g) Filtre balların bu özelliği ve bu ballarda polen miktarının büyük ölçüde alındığı etikette belirtilir.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ğ) Hammadde ambalajı üstünde Arıcılık Kayıt Sistemine kayıtlı olan işletmeye ait hammaddenin kaynağını işaret edecek TÜRKVET Kayıt S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isteminden alınan işletme numarası bulunur.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h) Balın botanik kaynağının Ek-1’de Latince ismi verilen botanik türlerden biri olması halinde; ürün ismi orijini olan çiçek veya bitkinin adı ile desteklenebilir.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ı) Karakovan balları adlandırılırken ürün adıyla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birlikte “doğal petekli” ifadesi kullanılabilir.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i) Süzme çiçek balının akışkan olmayan kıvamda, kontrollü koşullarda kristalize edilmesi halinde “krem bal”, kendiliğinden kristalize olması halinde ise “kristalize bal” adıyla piyasaya arz edilebilir.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Taşı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 ve depolama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14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kapsamındaki ürünlerin taşınması ve depolanması, Türk Gıda Kodeksi Yönetmeliğinin Gıdaların Taşınması ve Depolanması bölümünde yer alan kurallara ek olarak; ballar, paketleme/dolum noktasından tüketiciye ulaştırılana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kadar tüm aşamalarda temiz ve kuru yerlerde kokulardan ari biçimde, doğrudan güneş ışığından korunur ve 25 °C’yi aşmayacak şekilde muhafaza edilir.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Numune alma ve analiz metotları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15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kapsamında yer alan ürünlerden Türk Gıda Kodeksi Yönetmeliğinde belirtilen kurallara uygun olarak numune alınır, uluslararası kabul görmüş analiz metotları uygulanır.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AB mevzuatına uyum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 16 –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(1) Bu Tebliğ, 20/12/2001 tarihli ve 2001/11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0/AT sayılı Bal ile ilgili Konsey Direktifi dikkate alınarak Avrupa Birliği’ne uyum çerçevesinde hazırlanmıştır.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İdari yaptırım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 17 –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(1) Bu Tebliğe aykırı davrananlar hakkında 11/6/2010 tarihli ve 5996 sayılı Veteriner Hizmetleri, Bitki Sağlığı, Gıda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ve Yem Kanununun ilgili maddelerine göre yaptırımlar uygulanır.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(2) Diastaz sayısı ve HMF’ye ilişkin değerlendirmelerde ortam sıcaklığı ölçülerek işlem yapılır.</w:t>
      </w:r>
    </w:p>
    <w:p w:rsidR="00FD2BD3" w:rsidRDefault="00FD2BD3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FD2BD3" w:rsidRDefault="00FD2BD3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Yürürlükten kaldırılan tebliğ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MADDE 18 –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(1) 17/12/2005 tarihli ve 26026 sayılı Resmî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Gazete’de yayımlanan, Türk Gıda Kodeksi Bal Tebliği (Tebliğ No: 2005/49) yürürlükten kaldırılmıştır.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Uyum zorunluluğu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GEÇİCİ MADDE 1 –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(1) Bu Tebliğ kapsamında faaliyet gösteren gıda işletmecileri, bu Tebliğ hükümlerine 1/1/2013 tarihine kadar uymak zorund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adır.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(2) Bu Tebliğin yayımından önce faaliyet gösteren gıda işletmecileri, bu Tebliğ hükümlerine uyum sağlayıncaya kadar, 17/12/2005 tarihli ve 26026 sayılı Resmî Gazete’de yayımlanan, Türk Gıda Kodeksi Bal Tebliği (Tebliğ No: 2005/49) hükümlerine uymak z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orundadır.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Yürürlük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19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yayımı tarihinde yürürlüğe girer.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Yürütme</w:t>
      </w:r>
    </w:p>
    <w:p w:rsidR="00FD2BD3" w:rsidRDefault="009D2BDE">
      <w:pPr>
        <w:spacing w:beforeAutospacing="1"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MADDE 20 –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(1) Bu Tebliğ hükümlerini Gıda, Tarım ve Hayvancılık Bakanı yürütür.</w:t>
      </w:r>
    </w:p>
    <w:p w:rsidR="00FD2BD3" w:rsidRDefault="00FD2BD3">
      <w:pPr>
        <w:spacing w:beforeAutospacing="1" w:after="0" w:line="24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FD2BD3" w:rsidRDefault="009D2B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808080"/>
          <w:sz w:val="18"/>
          <w:szCs w:val="18"/>
          <w:lang w:eastAsia="tr-TR"/>
        </w:rPr>
      </w:pPr>
      <w:r>
        <w:br w:type="page"/>
      </w:r>
    </w:p>
    <w:p w:rsidR="00FD2BD3" w:rsidRDefault="009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Ek-1</w:t>
      </w:r>
    </w:p>
    <w:p w:rsidR="00FD2BD3" w:rsidRDefault="009D2BD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Ballara Ait Diğer Özellikler</w:t>
      </w:r>
    </w:p>
    <w:p w:rsidR="00FD2BD3" w:rsidRDefault="009D2BD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tbl>
      <w:tblPr>
        <w:tblW w:w="828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89"/>
        <w:gridCol w:w="2440"/>
        <w:gridCol w:w="1630"/>
        <w:gridCol w:w="1410"/>
        <w:gridCol w:w="1288"/>
        <w:gridCol w:w="26"/>
      </w:tblGrid>
      <w:tr w:rsidR="00FD2BD3">
        <w:trPr>
          <w:trHeight w:val="20"/>
          <w:tblHeader/>
          <w:jc w:val="center"/>
        </w:trPr>
        <w:tc>
          <w:tcPr>
            <w:tcW w:w="14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Çiçek Balı</w:t>
            </w:r>
          </w:p>
        </w:tc>
        <w:tc>
          <w:tcPr>
            <w:tcW w:w="163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Salgı Balı</w:t>
            </w:r>
          </w:p>
        </w:tc>
        <w:tc>
          <w:tcPr>
            <w:tcW w:w="141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Çiçek ve Salgı Balı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Karışımı</w:t>
            </w:r>
          </w:p>
        </w:tc>
        <w:tc>
          <w:tcPr>
            <w:tcW w:w="129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Fırıncılık Balı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Nem (en fazla)</w:t>
            </w:r>
          </w:p>
        </w:tc>
        <w:tc>
          <w:tcPr>
            <w:tcW w:w="2445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 20</w:t>
            </w:r>
          </w:p>
        </w:tc>
        <w:tc>
          <w:tcPr>
            <w:tcW w:w="1632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 20</w:t>
            </w:r>
          </w:p>
        </w:tc>
        <w:tc>
          <w:tcPr>
            <w:tcW w:w="141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 20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 23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76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% 25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Püren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Calluna)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kaynaklı fırıncılık ballarında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% 23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Püren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Calluna)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ballarında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Sakaroz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(en fazla)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g/100 g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g/100 g</w:t>
            </w:r>
          </w:p>
        </w:tc>
        <w:tc>
          <w:tcPr>
            <w:tcW w:w="141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g/100 g</w:t>
            </w:r>
          </w:p>
        </w:tc>
        <w:tc>
          <w:tcPr>
            <w:tcW w:w="129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 g/100 g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10g/100g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(Yalancı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akasya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Robina psedoacacia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Adi yonca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Medicago sativa)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Menzies Banksia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Banksia meziesii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Tatlı yonca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Hedysarum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Kırmızı okaliptüs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Eucalyptus camadulensis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Meşin ağacı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Eucryhia lucida, Eucyrphia milliganii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ve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Narenciye ballarında)</w:t>
            </w:r>
          </w:p>
        </w:tc>
        <w:tc>
          <w:tcPr>
            <w:tcW w:w="1632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10g/100g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(Kızıl çam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Pinus brutia)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Fıstık çamlarından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Pinus pinea)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elde edilen salgı ballarında)</w:t>
            </w: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 g/100 g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Lavanta çiçeği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Lavandula spp., Boraga officinalis)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ballarında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Fruktoz +Glukoz (en az)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 g’da 60 g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 g’da 45 g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 g’da 45 g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Fruktoz / Glukoz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0,9 - 1,4 </w:t>
            </w:r>
          </w:p>
        </w:tc>
        <w:tc>
          <w:tcPr>
            <w:tcW w:w="1632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1,0-1,4</w:t>
            </w:r>
          </w:p>
        </w:tc>
        <w:tc>
          <w:tcPr>
            <w:tcW w:w="141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1,0-1,4</w:t>
            </w:r>
          </w:p>
        </w:tc>
        <w:tc>
          <w:tcPr>
            <w:tcW w:w="129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1,0-1,85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Kestane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Castanea sativa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1,2-1,85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Akasya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Robinia pseudoacacia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1,0-1,65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Kekik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Thymus spp.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Suda çözünmeyen madde (en fazla)*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0,1 g/100 g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0,1 g/100 g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0,1 g/100 g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0,1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g/100 g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Serbest asitlik</w:t>
            </w:r>
          </w:p>
          <w:p w:rsidR="00FD2BD3" w:rsidRDefault="009D2B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(en fazla)</w:t>
            </w:r>
          </w:p>
          <w:p w:rsidR="00FD2BD3" w:rsidRDefault="009D2B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 meq/kg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 meq/kg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 meq/kg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 meq/kg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Elektrik iletkenliği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fazla 0,8 mS/cm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(Kocayemiş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Arbutus unedo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),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Çanotu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Erica),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Okaliptus,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Ihlamur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Tilia spp.)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Süpürgeçalı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Calluna vulgaris)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,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Okyanus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mersini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leptospermum)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Çay ağacı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Melaleuca spp),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Pamuk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 (Gossipium spp.’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elde edilenler hariç )</w:t>
            </w:r>
          </w:p>
        </w:tc>
        <w:tc>
          <w:tcPr>
            <w:tcW w:w="1632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az 0,8 mS/cm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fazla 0,8 mS/cm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fazla 0,8 mS/cm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az 0,8 mS/cm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(Kestane balında)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En az 0,8 mS/cm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(Kestane balı ve salgı balı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karışımlarında)</w:t>
            </w: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Diastaz sayısı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(en az)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32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9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(Narenciye balı gibi yapısında doğal olarak düşük miktarda enzim bulunan ve doğal olarak HMF miktarı 15 mg/kg’dan fazla olmayan balda)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HMF (en fazla)**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mg/kg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mg/kg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 mg/kg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Balda protein ve ham bal delta Cl3 değerleri arasındaki fark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-1,0 veya daha pozitif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-1,0 veya daha pozitif</w:t>
            </w:r>
          </w:p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-1,0 veya daha pozitif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-1,0 veya daha pozitif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Balda protein ve ham bal delta Cl3 değerlerinden hesaplanan C4 şekerleri oranı 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(en fazla)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%7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%7</w:t>
            </w:r>
          </w:p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%7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%7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 w:val="restart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Prolin miktarı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(en az)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300 mg/kg </w:t>
            </w:r>
          </w:p>
        </w:tc>
        <w:tc>
          <w:tcPr>
            <w:tcW w:w="1632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300 mg/kg </w:t>
            </w:r>
          </w:p>
        </w:tc>
        <w:tc>
          <w:tcPr>
            <w:tcW w:w="141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300 mg/kg </w:t>
            </w:r>
          </w:p>
        </w:tc>
        <w:tc>
          <w:tcPr>
            <w:tcW w:w="1290" w:type="dxa"/>
            <w:vMerge w:val="restart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180 mg/kg 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180 mg/kg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(Kanola, ıhlamur, narenciye, lavanta, okaliptüs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ballarında)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 mg/kg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(Biberiye, akasya ballarında)</w:t>
            </w:r>
          </w:p>
        </w:tc>
        <w:tc>
          <w:tcPr>
            <w:tcW w:w="1632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14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Naftalin miktarı (en fazla)***</w:t>
            </w:r>
          </w:p>
        </w:tc>
        <w:tc>
          <w:tcPr>
            <w:tcW w:w="24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ppb</w:t>
            </w:r>
          </w:p>
        </w:tc>
        <w:tc>
          <w:tcPr>
            <w:tcW w:w="163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ppb</w:t>
            </w:r>
          </w:p>
        </w:tc>
        <w:tc>
          <w:tcPr>
            <w:tcW w:w="141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ppb</w:t>
            </w:r>
          </w:p>
        </w:tc>
        <w:tc>
          <w:tcPr>
            <w:tcW w:w="129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 ppb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D2BD3">
        <w:trPr>
          <w:trHeight w:val="20"/>
          <w:jc w:val="center"/>
        </w:trPr>
        <w:tc>
          <w:tcPr>
            <w:tcW w:w="8267" w:type="dxa"/>
            <w:gridSpan w:val="5"/>
            <w:shd w:val="clear" w:color="auto" w:fill="auto"/>
          </w:tcPr>
          <w:p w:rsidR="00FD2BD3" w:rsidRDefault="009D2BDE">
            <w:pPr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FD2BD3" w:rsidRDefault="009D2BDE">
            <w:pPr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        Pres balında suda çözünmeyen madde miktarı 0, 5 g/100 g’ı geçemez.</w:t>
            </w:r>
          </w:p>
          <w:p w:rsidR="00FD2BD3" w:rsidRDefault="009D2BDE">
            <w:pPr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**      Üretildiği bölge etiketinde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belirtilmek koşulu ile tropikal ülke kaynaklı ballarda HMF miktarı en çok 80 mg/kg olur.</w:t>
            </w:r>
          </w:p>
          <w:p w:rsidR="00FD2BD3" w:rsidRDefault="009D2BDE">
            <w:pPr>
              <w:spacing w:after="0" w:line="240" w:lineRule="auto"/>
              <w:ind w:left="471" w:hanging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***    Balmumunda naftalin miktarı 10 ppb’den fazla olamaz.</w:t>
            </w:r>
          </w:p>
          <w:p w:rsidR="00FD2BD3" w:rsidRDefault="009D2BDE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2BD3" w:rsidRDefault="00FD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D2BD3" w:rsidRDefault="00FD2BD3"/>
    <w:sectPr w:rsidR="00FD2B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D3"/>
    <w:rsid w:val="009D2BDE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B13B-B46B-4ACA-BA9A-5D17A26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paragraph" w:styleId="Balk1">
    <w:name w:val="heading 1"/>
    <w:basedOn w:val="Balk"/>
    <w:pPr>
      <w:outlineLvl w:val="0"/>
    </w:pPr>
  </w:style>
  <w:style w:type="paragraph" w:styleId="Balk2">
    <w:name w:val="heading 2"/>
    <w:basedOn w:val="Balk"/>
    <w:pPr>
      <w:outlineLvl w:val="1"/>
    </w:pPr>
  </w:style>
  <w:style w:type="paragraph" w:styleId="Balk3">
    <w:name w:val="heading 3"/>
    <w:basedOn w:val="Balk"/>
    <w:pPr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MetinGvdesi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"/>
    <w:rPr>
      <w:rFonts w:ascii="Times New Roman" w:hAnsi="Times New Roman" w:cs="Mangal"/>
    </w:rPr>
  </w:style>
  <w:style w:type="paragraph" w:styleId="ResimYazs">
    <w:name w:val="caption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0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ascii="Times New Roman" w:hAnsi="Times New Roman" w:cs="Mangal"/>
    </w:rPr>
  </w:style>
  <w:style w:type="paragraph" w:styleId="Alnt">
    <w:name w:val="Quote"/>
    <w:basedOn w:val="Normal"/>
    <w:qFormat/>
  </w:style>
  <w:style w:type="paragraph" w:customStyle="1" w:styleId="BelgeBal">
    <w:name w:val="Belge Başlığı"/>
    <w:basedOn w:val="Balk"/>
  </w:style>
  <w:style w:type="paragraph" w:customStyle="1" w:styleId="Altbalk">
    <w:name w:val="Alt başlık"/>
    <w:basedOn w:val="Bal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2013</Words>
  <Characters>11476</Characters>
  <Application>Microsoft Office Word</Application>
  <DocSecurity>0</DocSecurity>
  <Lines>95</Lines>
  <Paragraphs>26</Paragraphs>
  <ScaleCrop>false</ScaleCrop>
  <Company>SilentAll Team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 Yunus</dc:creator>
  <cp:lastModifiedBy>sıla akbulut</cp:lastModifiedBy>
  <cp:revision>2</cp:revision>
  <cp:lastPrinted>2017-02-22T16:46:00Z</cp:lastPrinted>
  <dcterms:created xsi:type="dcterms:W3CDTF">2021-02-16T17:51:00Z</dcterms:created>
  <dcterms:modified xsi:type="dcterms:W3CDTF">2021-02-16T17:51:00Z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SilentAll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