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8789"/>
      </w:tblGrid>
      <w:tr w:rsidR="006F7E4E" w:rsidRPr="006F7E4E" w14:paraId="24A8D6FB" w14:textId="77777777" w:rsidTr="006F7E4E">
        <w:trPr>
          <w:trHeight w:val="480"/>
        </w:trPr>
        <w:tc>
          <w:tcPr>
            <w:tcW w:w="8789" w:type="dxa"/>
            <w:tcMar>
              <w:top w:w="0" w:type="dxa"/>
              <w:left w:w="108" w:type="dxa"/>
              <w:bottom w:w="0" w:type="dxa"/>
              <w:right w:w="108" w:type="dxa"/>
            </w:tcMar>
            <w:vAlign w:val="center"/>
            <w:hideMark/>
          </w:tcPr>
          <w:p w14:paraId="49B44ADD" w14:textId="77777777" w:rsidR="006F7E4E" w:rsidRPr="006F7E4E" w:rsidRDefault="006F7E4E" w:rsidP="006F7E4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F7E4E">
              <w:rPr>
                <w:rFonts w:ascii="Arial" w:eastAsia="Times New Roman" w:hAnsi="Arial" w:cs="Arial"/>
                <w:b/>
                <w:bCs/>
                <w:color w:val="000080"/>
                <w:sz w:val="18"/>
                <w:szCs w:val="18"/>
                <w:lang w:eastAsia="tr-TR"/>
              </w:rPr>
              <w:t>YÖNETMELİK</w:t>
            </w:r>
          </w:p>
        </w:tc>
      </w:tr>
      <w:tr w:rsidR="006F7E4E" w:rsidRPr="006F7E4E" w14:paraId="5CBD0FE2" w14:textId="77777777" w:rsidTr="006F7E4E">
        <w:trPr>
          <w:trHeight w:val="480"/>
        </w:trPr>
        <w:tc>
          <w:tcPr>
            <w:tcW w:w="8789" w:type="dxa"/>
            <w:tcMar>
              <w:top w:w="0" w:type="dxa"/>
              <w:left w:w="108" w:type="dxa"/>
              <w:bottom w:w="0" w:type="dxa"/>
              <w:right w:w="108" w:type="dxa"/>
            </w:tcMar>
            <w:vAlign w:val="center"/>
            <w:hideMark/>
          </w:tcPr>
          <w:p w14:paraId="7C4C14BA"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Sağlık Bakanlığı, İçişleri Bakanlığı ve Gıda, Tarım ve Hayvancılık Bakanlığından:</w:t>
            </w:r>
          </w:p>
          <w:p w14:paraId="0DC41098"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HİJYEN EĞİTİMİ YÖNETMELİĞİ</w:t>
            </w:r>
          </w:p>
          <w:p w14:paraId="35BD55C9"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BİRİNCİ BÖLÜM</w:t>
            </w:r>
          </w:p>
          <w:p w14:paraId="3B90CD32"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Amaç, Kapsam, Dayanak ve Tanımlar</w:t>
            </w:r>
          </w:p>
          <w:p w14:paraId="3D1CD47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Amaç</w:t>
            </w:r>
          </w:p>
          <w:p w14:paraId="160F1F17"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1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Yönetmeliğin amacı; gıda üretim ve perakende iş yerlerinde, insani tüketim amaçlı sular ile doğal mineralli suları üreten iş yerlerinde ve insan bedenine temasın söz konusu olduğu temizlik hizmetlerinin verildiği iş yerlerinde çalışanlara yönelik hijyen eğitimi programlarının planlanmasına, eğitimlerin verilmesine, iş yeri sahibinin, işletenlerin ve çalışanların bu konudaki sorumluluklarına, bu iş yerlerinde çalışmaya engel bulaşıcı hastalıkların ve cilt hastalıklarının belirlenmesine ve bu hastalıkların iyileşme hâlinin tespitine ilişkin usul ve esasları belirlemektir.</w:t>
            </w:r>
          </w:p>
          <w:p w14:paraId="5D286AA1"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Kapsam</w:t>
            </w:r>
          </w:p>
          <w:p w14:paraId="728F81F2"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2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Yönetmelik aşağıda belirtilen iş kollarını kapsar:</w:t>
            </w:r>
          </w:p>
          <w:p w14:paraId="06790A7E"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a) Gıda üretim ve perakende iş yerleri.</w:t>
            </w:r>
          </w:p>
          <w:p w14:paraId="6C9434B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b) İnsani tüketim amaçlı sular ile doğal mineralli suların üretimini yapan iş yerleri.</w:t>
            </w:r>
          </w:p>
          <w:p w14:paraId="0CB6A85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 xml:space="preserve">c) Kaplıca, hamam, sauna, berber, kuaför, dövme ve </w:t>
            </w:r>
            <w:proofErr w:type="spellStart"/>
            <w:r w:rsidRPr="006F7E4E">
              <w:rPr>
                <w:rFonts w:ascii="Times New Roman" w:eastAsia="Times New Roman" w:hAnsi="Times New Roman" w:cs="Times New Roman"/>
                <w:sz w:val="18"/>
                <w:szCs w:val="18"/>
                <w:lang w:eastAsia="tr-TR"/>
              </w:rPr>
              <w:t>pirsing</w:t>
            </w:r>
            <w:proofErr w:type="spellEnd"/>
            <w:r w:rsidRPr="006F7E4E">
              <w:rPr>
                <w:rFonts w:ascii="Times New Roman" w:eastAsia="Times New Roman" w:hAnsi="Times New Roman" w:cs="Times New Roman"/>
                <w:sz w:val="18"/>
                <w:szCs w:val="18"/>
                <w:lang w:eastAsia="tr-TR"/>
              </w:rPr>
              <w:t xml:space="preserve"> yapılan yerler, masaj ve güzellik salonları ve benzeri yerler.</w:t>
            </w:r>
          </w:p>
          <w:p w14:paraId="56641DD7"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ç) Otel, motel, pansiyon ve misafirhane gibi yerler.</w:t>
            </w:r>
          </w:p>
          <w:p w14:paraId="59D9A8F4"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d) Komisyon tarafından hijyen eğitimi verilmesi uygun görülen diğer iş kolları.</w:t>
            </w:r>
          </w:p>
          <w:p w14:paraId="0E338F68"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(2) Bu Yönetmelik, 11/6/2010 tarihli ve 5996 sayılı Veteriner Hizmetleri, Bitki Sağlığı, Gıda ve Yem Kanunu kapsamındaki iş yerlerinde çalışan kişiler için mecburi olan gıda hijyeni eğitim konularını kapsamaz.</w:t>
            </w:r>
          </w:p>
          <w:p w14:paraId="6B11386F"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Dayanak</w:t>
            </w:r>
          </w:p>
          <w:p w14:paraId="0EAEE83F"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3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 xml:space="preserve">(1) Bu Yönetmelik, 24/4/1930 tarihli ve 1593 sayılı Umumi Hıfzıssıhha Kanununun 127 </w:t>
            </w:r>
            <w:proofErr w:type="spellStart"/>
            <w:r w:rsidRPr="006F7E4E">
              <w:rPr>
                <w:rFonts w:ascii="Times New Roman" w:eastAsia="Times New Roman" w:hAnsi="Times New Roman" w:cs="Times New Roman"/>
                <w:sz w:val="18"/>
                <w:szCs w:val="18"/>
                <w:lang w:eastAsia="tr-TR"/>
              </w:rPr>
              <w:t>nci</w:t>
            </w:r>
            <w:proofErr w:type="spellEnd"/>
            <w:r w:rsidRPr="006F7E4E">
              <w:rPr>
                <w:rFonts w:ascii="Times New Roman" w:eastAsia="Times New Roman" w:hAnsi="Times New Roman" w:cs="Times New Roman"/>
                <w:sz w:val="18"/>
                <w:szCs w:val="18"/>
                <w:lang w:eastAsia="tr-TR"/>
              </w:rPr>
              <w:t xml:space="preserve"> maddesine dayanılarak hazırlanmıştır.</w:t>
            </w:r>
          </w:p>
          <w:p w14:paraId="67107E58"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Tanımlar</w:t>
            </w:r>
          </w:p>
          <w:p w14:paraId="7ECBDE6A"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4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Yönetmelikte geçen;</w:t>
            </w:r>
          </w:p>
          <w:p w14:paraId="6E2090A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a) Bakanlıklar: Gıda, Tarım ve Hayvancılık, İçişleri, Milli Eğitim ve Sağlık Bakanlıklarını,</w:t>
            </w:r>
          </w:p>
          <w:p w14:paraId="725A3227"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b) Belge: Hijyen eğitimlerini alan kişilere Genel Müdürlüğe bağlı öğretim kurumlarınca verilen kurs bitirme belgesini,</w:t>
            </w:r>
          </w:p>
          <w:p w14:paraId="0942FA22"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c) Eğitim: Halk sağlığının korunması amacıyla, her iş koluna uygun olarak verilecek hijyen eğitimini,</w:t>
            </w:r>
          </w:p>
          <w:p w14:paraId="6982967B"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lastRenderedPageBreak/>
              <w:t>ç) Genel Müdürlük: Millî Eğitim Bakanlığı Hayat Boyu Öğrenme Genel Müdürlüğünü,</w:t>
            </w:r>
          </w:p>
          <w:p w14:paraId="51D3EC5C"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d) Hijyen: Her iş kolunun özelliğine göre çalışanın kendisinin ve halkın sağlığını tehlikeye sokmayacak biçimde hizmet vermesini sağlamak amacıyla yapılacak uygulamaların ve alınan temizlik önlemlerinin bütününü,</w:t>
            </w:r>
          </w:p>
          <w:p w14:paraId="4A1F730B"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e) Komisyon: Eğitimleri planlamak üzere Genel Müdürlük bünyesinde oluşturulan komisyonu,</w:t>
            </w:r>
          </w:p>
          <w:p w14:paraId="338D3CDF"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f) Perakende iş yerleri: Ana dağıtım merkezleri, hazır yemek hizmeti, iş yeri ve kurum yemekhaneleri, restoranlar ve diğer benzeri gıda hizmetlerinin sunulduğu yerler, dükkânlar, toptan satış yerleri, süpermarket dağıtım merkezleri dâhil olmak üzere son tüketiciye satış ve dağıtım noktasında gıdanın işlenmesi, muameleye tabi tutulması veya depolanması ve benzeri hizmetlerin verildiği iş yerlerini</w:t>
            </w:r>
          </w:p>
          <w:p w14:paraId="4C65029D"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ifade eder.</w:t>
            </w:r>
          </w:p>
          <w:p w14:paraId="5A222570"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İKİNCİ BÖLÜM</w:t>
            </w:r>
          </w:p>
          <w:p w14:paraId="6B0322CF"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Belge Verilmesi, Hijyen Eğitimi, Komisyon Kurulması ve Eğitimlerin Planlanması</w:t>
            </w:r>
          </w:p>
          <w:p w14:paraId="725B5954"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Belge alan kişilerin çalıştırılması</w:t>
            </w:r>
          </w:p>
          <w:p w14:paraId="357EEEB7"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5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Yönetmeliğin kapsadığı iş yerlerinde, Genel Müdürlük tarafından verilen belgeye sahip olmayan kişiler çalıştırılamaz. İş yeri sahipleri ve işletenleri, çalışanlarının hijyen eğitimi almasından ve belgeli olarak çalıştırılmasından birinci derecede sorumludur. Bizzat çalışmaları durumunda iş yeri sahipleri ve işletenleri de bu eğitimi almaya mecburdur.</w:t>
            </w:r>
          </w:p>
          <w:p w14:paraId="6198BE6A"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Eğitimlerin veriliş şekli</w:t>
            </w:r>
          </w:p>
          <w:p w14:paraId="3BCDE3D7"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6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Eğitimler, Genel Müdürlüğe bağlı öğretim kurumları tarafından verilir. İş yeri sahipleri ve işletenleri, komisyonca belirlenen usul ve esaslar çerçevesinde bu eğitimleri çalışanlarına kendi imkânlarıyla da verebilir.</w:t>
            </w:r>
          </w:p>
          <w:p w14:paraId="64AA8831"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(2) Genel Müdürlük, iş kollarının özelliğine göre komisyonca belirlenen eğitim içeriklerinin eğitim formatına uygun olarak ülke genelinde verilmesini sağlar. Eğitimler sekiz saatten az olamaz.</w:t>
            </w:r>
          </w:p>
          <w:p w14:paraId="7D37BEE0"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(3) Genel Müdürlüğe bağlı öğretim kurumlarınca, katılımcılara eğitim sonunda e-yaygın sistemi üzerinde kurs bitirme belgesi verilir. Belgeler, kişi hizmet verdiği sürece geçerli kabul edilir.</w:t>
            </w:r>
          </w:p>
          <w:p w14:paraId="5EA299F9"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(4) Genel Müdürlük, eğitim ile ilgili yapacağı masrafları karşılamak üzere eğitime katılanlardan ücret talep edebilir. Kurslarda, uygulama yapılması gerekir ise uygulama sırasında kullanılabilecek şahsi malzemeler katılımcılar tarafından tedarik edilir.</w:t>
            </w:r>
          </w:p>
          <w:p w14:paraId="1EF9D660"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Komisyon kurulması, komisyonun çalışma usul ve esasları</w:t>
            </w:r>
          </w:p>
          <w:p w14:paraId="71A1F072"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7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Genel Müdürlük bünyesinde, eğitimlerin planlanması için iş kollarının gruplandırmasını yapmak, iş kollarının yapısına uygun olarak eğitimleri planlamak ve iş kollarının durumuna göre eğitim içeriğini belirlemek üzere bir komisyon kurulur.</w:t>
            </w:r>
          </w:p>
          <w:p w14:paraId="6C9241DE"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(2) Komisyon, Genel Müdürlük tarafından görevlendirilen bir üyenin başkanlığında aşağıdaki üyelerden oluşur:</w:t>
            </w:r>
          </w:p>
          <w:p w14:paraId="41F5D69D"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a) Bakanlıklarca görevlendirilecek birer üye.</w:t>
            </w:r>
          </w:p>
          <w:p w14:paraId="0F370D58"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b) Sağlık Bakanlığınca belirlenecek bir tıbbi mikrobiyoloji uzmanı, bir enfeksiyon hastalıkları ve klinik mikrobiyoloji uzmanı, bir halk sağlığı uzmanı, bir deri ve zührevi hastalıkları uzmanı.</w:t>
            </w:r>
          </w:p>
          <w:p w14:paraId="4E07A74F"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lastRenderedPageBreak/>
              <w:t>c) Gıda, Tarım ve Hayvancılık Bakanlığınca belirlenecek bir veteriner hekim ve bir gıda mühendisi/ziraat mühendisi (gıda veya süt bölümü mezunu).</w:t>
            </w:r>
          </w:p>
          <w:p w14:paraId="16AA605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ç) Türkiye Odalar ve Borsalar Birliği ile Türkiye Esnaf ve Sanatkârları Konfederasyonundan birer temsilci.</w:t>
            </w:r>
          </w:p>
          <w:p w14:paraId="213E8688"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(3) Komisyon, iş kollarının gruplandırmasını yaparak iş koluna göre eğitim konularını ve sürelerini; eğitimlerin, iş yeri sahiplerince veya işletenlerince verilmesi durumunda ise eğitimlere ve belgelendirme işlemlerine ait usul ve esasları belirler.</w:t>
            </w:r>
          </w:p>
          <w:p w14:paraId="76BBC73A"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(4) Komisyon yılda en az bir kez toplanır. Kararlar, salt çoğunlukla alınır.</w:t>
            </w:r>
          </w:p>
          <w:p w14:paraId="1CD6E24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(5) Komisyonun sekretarya hizmetleri Genel Müdürlükçe yürütülür.</w:t>
            </w:r>
          </w:p>
          <w:p w14:paraId="7AB367F9"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Eğitim konuları</w:t>
            </w:r>
          </w:p>
          <w:p w14:paraId="4FA8C5C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8 –</w:t>
            </w:r>
            <w:r w:rsidRPr="006F7E4E">
              <w:rPr>
                <w:rFonts w:ascii="Times New Roman" w:eastAsia="Times New Roman" w:hAnsi="Times New Roman" w:cs="Times New Roman"/>
                <w:b/>
                <w:bCs/>
                <w:sz w:val="18"/>
                <w:lang w:eastAsia="tr-TR"/>
              </w:rPr>
              <w:t> </w:t>
            </w:r>
            <w:r w:rsidRPr="006F7E4E">
              <w:rPr>
                <w:rFonts w:ascii="Times New Roman" w:eastAsia="Times New Roman" w:hAnsi="Times New Roman" w:cs="Times New Roman"/>
                <w:sz w:val="18"/>
                <w:szCs w:val="18"/>
                <w:lang w:eastAsia="tr-TR"/>
              </w:rPr>
              <w:t>(1) Eğitimlerin içerikleri, hijyen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14:paraId="18B822C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(2) Eğitimlerin içeriğinde, iş kolunun özelliğine göre hijyen ve temizlik ilkeleri ile komisyonca bilgi verilmesinde fayda görülen başka etkenler ve konular da yer alır.</w:t>
            </w:r>
          </w:p>
          <w:p w14:paraId="6B1A408B"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ÜÇÜNCÜ BÖLÜM</w:t>
            </w:r>
          </w:p>
          <w:p w14:paraId="692B0D0E" w14:textId="77777777" w:rsidR="006F7E4E" w:rsidRPr="006F7E4E" w:rsidRDefault="006F7E4E" w:rsidP="006F7E4E">
            <w:pPr>
              <w:spacing w:before="100" w:beforeAutospacing="1" w:after="100" w:afterAutospacing="1" w:line="240" w:lineRule="atLeast"/>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Çeşitli ve Son Hükümler</w:t>
            </w:r>
          </w:p>
          <w:p w14:paraId="33A0B5F7"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Çalışmaya engel teşkil eden hastalıklar</w:t>
            </w:r>
          </w:p>
          <w:p w14:paraId="3771A371"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9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Aşağıda belirtilen hastalıkları bulunanlar iyileşme hâlini/bulaştırıcılığın olmadığını raporla belgeleyene kadar bu Yönetmelik kapsamındaki iş yerlerinde çalışamaz ve çalıştırılamazlar:</w:t>
            </w:r>
          </w:p>
          <w:p w14:paraId="1D97F04F"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a) Gıda ile taşınabilen bir hastalığı olan veya bu hastalığın taşıyıcısı durumundaki kişiler ile ishali bulunanlar.</w:t>
            </w:r>
          </w:p>
          <w:p w14:paraId="68EABA6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b) Vücudun görünür kısımlarında açık/</w:t>
            </w:r>
            <w:proofErr w:type="spellStart"/>
            <w:r w:rsidRPr="006F7E4E">
              <w:rPr>
                <w:rFonts w:ascii="Times New Roman" w:eastAsia="Times New Roman" w:hAnsi="Times New Roman" w:cs="Times New Roman"/>
                <w:sz w:val="18"/>
                <w:szCs w:val="18"/>
                <w:lang w:eastAsia="tr-TR"/>
              </w:rPr>
              <w:t>enfekte</w:t>
            </w:r>
            <w:proofErr w:type="spellEnd"/>
            <w:r w:rsidRPr="006F7E4E">
              <w:rPr>
                <w:rFonts w:ascii="Times New Roman" w:eastAsia="Times New Roman" w:hAnsi="Times New Roman" w:cs="Times New Roman"/>
                <w:sz w:val="18"/>
                <w:szCs w:val="18"/>
                <w:lang w:eastAsia="tr-TR"/>
              </w:rPr>
              <w:t xml:space="preserve"> yara, deri enfeksiyonu ve benzeri halkta tiksintiye yol açabilecek deri lezyonları bulunanlar; cüzzam, frengi ve verem hastalığına yakalananlar.</w:t>
            </w:r>
          </w:p>
          <w:p w14:paraId="0FFDC1A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 xml:space="preserve">c) 30/5/2007 tarihli ve 26537 sayılı Resmî Gazete’de yayımlanan Bulaşıcı Hastalıklar </w:t>
            </w:r>
            <w:proofErr w:type="spellStart"/>
            <w:r w:rsidRPr="006F7E4E">
              <w:rPr>
                <w:rFonts w:ascii="Times New Roman" w:eastAsia="Times New Roman" w:hAnsi="Times New Roman" w:cs="Times New Roman"/>
                <w:sz w:val="18"/>
                <w:szCs w:val="18"/>
                <w:lang w:eastAsia="tr-TR"/>
              </w:rPr>
              <w:t>Sürveyans</w:t>
            </w:r>
            <w:proofErr w:type="spellEnd"/>
            <w:r w:rsidRPr="006F7E4E">
              <w:rPr>
                <w:rFonts w:ascii="Times New Roman" w:eastAsia="Times New Roman" w:hAnsi="Times New Roman" w:cs="Times New Roman"/>
                <w:sz w:val="18"/>
                <w:szCs w:val="18"/>
                <w:lang w:eastAsia="tr-TR"/>
              </w:rPr>
              <w:t xml:space="preserve"> ve Kontrol Esasları Yönetmeliğinde yer alan, hijyen ilkelerine uyulmadığı durumlarda halk sağlığı açısından problem oluşturabilecek hastalığı bulunanlar.</w:t>
            </w:r>
          </w:p>
          <w:p w14:paraId="14FA30E1"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sz w:val="18"/>
                <w:szCs w:val="18"/>
                <w:lang w:eastAsia="tr-TR"/>
              </w:rPr>
              <w:t>(2) Çalışanlar, hastalıkları konusunda işverene bilgi vermekle yükümlüdür.</w:t>
            </w:r>
          </w:p>
          <w:p w14:paraId="5D31F71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İyileşme hâlinin belirlenmesi</w:t>
            </w:r>
          </w:p>
          <w:p w14:paraId="60E0EE8B"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10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Yönetmelik kapsamında bulunan iş yerlerinde çalışmaya engel hastalığı bulunanlar, hastalıklarının iyileştiğini/bulaştırıcılığın olmadığını gösteren tabip/uzman tabip raporunu ibraz etmeleri durumunda çalışabilir veya çalıştırılabilirler.</w:t>
            </w:r>
          </w:p>
          <w:p w14:paraId="302C256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Denetim ve müeyyideler</w:t>
            </w:r>
          </w:p>
          <w:p w14:paraId="28A3071B"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11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 xml:space="preserve">(1) Her iş kolunun izin, onay, kayıt, ruhsatlandırma ve benzeri hizmetlerini yürüten Bakanlık veya mahalli idare, bu Yönetmelikte belirtilen iş yerlerinin, 5 inci, 9 uncu ve 10 uncu maddelerde belirtilen yükümlülükleri yerine getirip getirmediğini denetler. Bu maddelerde belirtilen yükümlülükleri yerine getirmeyenler hakkında, durumu bu maddelere uygun bulunmayan çalışanların her biri ayrı ayrı aykırılıklar olarak değerlendirilir ve 1593 sayılı Umumi Hıfzıssıhha Kanununun 282 </w:t>
            </w:r>
            <w:proofErr w:type="spellStart"/>
            <w:r w:rsidRPr="006F7E4E">
              <w:rPr>
                <w:rFonts w:ascii="Times New Roman" w:eastAsia="Times New Roman" w:hAnsi="Times New Roman" w:cs="Times New Roman"/>
                <w:sz w:val="18"/>
                <w:szCs w:val="18"/>
                <w:lang w:eastAsia="tr-TR"/>
              </w:rPr>
              <w:t>nci</w:t>
            </w:r>
            <w:proofErr w:type="spellEnd"/>
            <w:r w:rsidRPr="006F7E4E">
              <w:rPr>
                <w:rFonts w:ascii="Times New Roman" w:eastAsia="Times New Roman" w:hAnsi="Times New Roman" w:cs="Times New Roman"/>
                <w:sz w:val="18"/>
                <w:szCs w:val="18"/>
                <w:lang w:eastAsia="tr-TR"/>
              </w:rPr>
              <w:t xml:space="preserve"> maddesine göre işlem yapılır.</w:t>
            </w:r>
          </w:p>
          <w:p w14:paraId="11545CDF"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Eğitim hazırlık süreci</w:t>
            </w:r>
          </w:p>
          <w:p w14:paraId="6C7B841E"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GEÇİCİ MADDE 1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Yönetmelik kapsamında bulunan iş yerlerinin sahipleri ve işletenleri, Yönetmelik yürürlüğe girdikten sonraki bir yıl içinde çalışanlarının Yönetmelikte belirtilen eğitimleri almalarını sağlar.</w:t>
            </w:r>
          </w:p>
          <w:p w14:paraId="59885A1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Yürürlük</w:t>
            </w:r>
          </w:p>
          <w:p w14:paraId="5EF46963"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12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Yönetmelik yayımı tarihinde yürürlüğe girer.</w:t>
            </w:r>
          </w:p>
          <w:p w14:paraId="617BD6AD"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Yürütme</w:t>
            </w:r>
          </w:p>
          <w:p w14:paraId="66E79146" w14:textId="77777777" w:rsidR="006F7E4E" w:rsidRPr="006F7E4E" w:rsidRDefault="006F7E4E" w:rsidP="006F7E4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6F7E4E">
              <w:rPr>
                <w:rFonts w:ascii="Times New Roman" w:eastAsia="Times New Roman" w:hAnsi="Times New Roman" w:cs="Times New Roman"/>
                <w:b/>
                <w:bCs/>
                <w:sz w:val="18"/>
                <w:szCs w:val="18"/>
                <w:lang w:eastAsia="tr-TR"/>
              </w:rPr>
              <w:t>MADDE 13 –</w:t>
            </w:r>
            <w:r w:rsidRPr="006F7E4E">
              <w:rPr>
                <w:rFonts w:ascii="Times New Roman" w:eastAsia="Times New Roman" w:hAnsi="Times New Roman" w:cs="Times New Roman"/>
                <w:sz w:val="18"/>
                <w:lang w:eastAsia="tr-TR"/>
              </w:rPr>
              <w:t> </w:t>
            </w:r>
            <w:r w:rsidRPr="006F7E4E">
              <w:rPr>
                <w:rFonts w:ascii="Times New Roman" w:eastAsia="Times New Roman" w:hAnsi="Times New Roman" w:cs="Times New Roman"/>
                <w:sz w:val="18"/>
                <w:szCs w:val="18"/>
                <w:lang w:eastAsia="tr-TR"/>
              </w:rPr>
              <w:t>(1) Bu Yönetmelik hükümlerini Gıda, Tarım ve Hayvancılık, İçişleri ve Sağlık Bakanları yürütür.</w:t>
            </w:r>
          </w:p>
        </w:tc>
      </w:tr>
    </w:tbl>
    <w:p w14:paraId="5C1728B1" w14:textId="77777777" w:rsidR="00794E6E" w:rsidRDefault="00794E6E"/>
    <w:sectPr w:rsidR="00794E6E" w:rsidSect="00794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F7E4E"/>
    <w:rsid w:val="00165557"/>
    <w:rsid w:val="00467E29"/>
    <w:rsid w:val="006F7E4E"/>
    <w:rsid w:val="00726AB9"/>
    <w:rsid w:val="00794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C861"/>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F7E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F7E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F7E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F7E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F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6994</Characters>
  <Application>Microsoft Office Word</Application>
  <DocSecurity>0</DocSecurity>
  <Lines>58</Lines>
  <Paragraphs>16</Paragraphs>
  <ScaleCrop>false</ScaleCrop>
  <Company>By CEYLAN</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CEYLAN</dc:creator>
  <cp:keywords/>
  <dc:description/>
  <cp:lastModifiedBy>sıla akbulut</cp:lastModifiedBy>
  <cp:revision>2</cp:revision>
  <dcterms:created xsi:type="dcterms:W3CDTF">2021-02-16T17:44:00Z</dcterms:created>
  <dcterms:modified xsi:type="dcterms:W3CDTF">2021-02-16T17:44:00Z</dcterms:modified>
</cp:coreProperties>
</file>